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100"/>
        <w:jc w:val="center"/>
      </w:pPr>
      <w:r>
        <w:rPr>
          <w:rFonts w:ascii="Arial" w:cs="Arial" w:eastAsia="Arial" w:hAnsi="Arial"/>
          <w:b/>
          <w:bCs/>
          <w:color w:val="0B1D3A"/>
          <w:sz w:val="40"/>
          <w:szCs w:val="40"/>
        </w:rPr>
        <w:t xml:space="preserve">Health and Safety Policy</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BS-PHC-HS-007</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Health and Safety Policy</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BS-PHC-HS-007</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Organisation Name]</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policy sets out the arrangements by which [Insert Organisation Name] fulfils its duties under the Health and Safety at Work etc. Act 1974 and subordinate regulations to ensure, so far as is reasonably practicable, the health, safety, and welfare of all employees, patients, visitors, contractors, and others affected by its undertaking. It also ensures compliance with the Health and Social Care Act 2008 (Regulated Activities) Regulations 2014 (Regulation 12 and Regulation 15).</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policy applies to all persons present at [Insert Organisation Name] premises, including employees, agency staff, self-employed practitioners, patients, visitors, and contractors. It covers all activities undertaken in connection with the clinic’s operations.</w:t>
      </w:r>
    </w:p>
    <w:p>
      <w:pPr>
        <w:pStyle w:val="Heading1"/>
      </w:pPr>
      <w:r>
        <w:rPr>
          <w:rFonts w:ascii="Arial" w:cs="Arial" w:eastAsia="Arial" w:hAnsi="Arial"/>
          <w:b/>
          <w:bCs/>
          <w:color w:val="0B1D3A"/>
          <w:sz w:val="28"/>
          <w:szCs w:val="28"/>
        </w:rPr>
        <w:t xml:space="preserve">3. Statement of Intent</w:t>
      </w:r>
    </w:p>
    <w:p>
      <w:pPr>
        <w:spacing w:after="120"/>
        <w:jc w:val="both"/>
      </w:pPr>
      <w:r>
        <w:rPr>
          <w:rFonts w:ascii="Arial" w:cs="Arial" w:eastAsia="Arial" w:hAnsi="Arial"/>
          <w:color w:val="333333"/>
          <w:sz w:val="22"/>
          <w:szCs w:val="22"/>
        </w:rPr>
        <w:t xml:space="preserve">The Clinic Director / Registered Manager of [Insert Organisation Name] accepts overall responsibility for health and safety and is committed to providing a safe and healthy working environment, adequate resources for health and safety management, safe systems of work and appropriate equipment, competent health and safety advice, and a culture of continuous improvement in health and safety performance.</w:t>
      </w:r>
    </w:p>
    <w:p>
      <w:pPr>
        <w:pStyle w:val="Heading1"/>
      </w:pPr>
      <w:r>
        <w:rPr>
          <w:rFonts w:ascii="Arial" w:cs="Arial" w:eastAsia="Arial" w:hAnsi="Arial"/>
          <w:b/>
          <w:bCs/>
          <w:color w:val="0B1D3A"/>
          <w:sz w:val="28"/>
          <w:szCs w:val="28"/>
        </w:rPr>
        <w:t xml:space="preserve">4. Organisational Responsibilities</w:t>
      </w:r>
    </w:p>
    <w:p>
      <w:pPr>
        <w:pStyle w:val="Heading2"/>
      </w:pPr>
      <w:r>
        <w:rPr>
          <w:rFonts w:ascii="Arial" w:cs="Arial" w:eastAsia="Arial" w:hAnsi="Arial"/>
          <w:b/>
          <w:bCs/>
          <w:color w:val="0B1D3A"/>
          <w:sz w:val="24"/>
          <w:szCs w:val="24"/>
        </w:rPr>
        <w:t xml:space="preserve">4.1 Clinic Director / Registered Manager</w:t>
      </w:r>
    </w:p>
    <w:p>
      <w:pPr>
        <w:pStyle w:val="ListParagraph"/>
        <w:numPr>
          <w:ilvl w:val="0"/>
          <w:numId w:val="2"/>
        </w:numPr>
        <w:spacing w:after="80"/>
      </w:pPr>
      <w:r>
        <w:rPr>
          <w:rFonts w:ascii="Arial" w:cs="Arial" w:eastAsia="Arial" w:hAnsi="Arial"/>
          <w:color w:val="333333"/>
          <w:sz w:val="22"/>
          <w:szCs w:val="22"/>
        </w:rPr>
        <w:t xml:space="preserve">Holds overall accountability for health and safety under Section 2 of the Health and Safety at Work etc. Act 1974</w:t>
      </w:r>
    </w:p>
    <w:p>
      <w:pPr>
        <w:pStyle w:val="ListParagraph"/>
        <w:numPr>
          <w:ilvl w:val="0"/>
          <w:numId w:val="2"/>
        </w:numPr>
        <w:spacing w:after="80"/>
      </w:pPr>
      <w:r>
        <w:rPr>
          <w:rFonts w:ascii="Arial" w:cs="Arial" w:eastAsia="Arial" w:hAnsi="Arial"/>
          <w:color w:val="333333"/>
          <w:sz w:val="22"/>
          <w:szCs w:val="22"/>
        </w:rPr>
        <w:t xml:space="preserve">Appoints a competent person to assist with health and safety as required by Regulation 7 of the Management of Health and Safety at Work Regulations 1999</w:t>
      </w:r>
    </w:p>
    <w:p>
      <w:pPr>
        <w:pStyle w:val="ListParagraph"/>
        <w:numPr>
          <w:ilvl w:val="0"/>
          <w:numId w:val="2"/>
        </w:numPr>
        <w:spacing w:after="80"/>
      </w:pPr>
      <w:r>
        <w:rPr>
          <w:rFonts w:ascii="Arial" w:cs="Arial" w:eastAsia="Arial" w:hAnsi="Arial"/>
          <w:color w:val="333333"/>
          <w:sz w:val="22"/>
          <w:szCs w:val="22"/>
        </w:rPr>
        <w:t xml:space="preserve">Ensures risk assessments are conducted and reviewed for all significant hazards</w:t>
      </w:r>
    </w:p>
    <w:p>
      <w:pPr>
        <w:pStyle w:val="ListParagraph"/>
        <w:numPr>
          <w:ilvl w:val="0"/>
          <w:numId w:val="2"/>
        </w:numPr>
        <w:spacing w:after="80"/>
      </w:pPr>
      <w:r>
        <w:rPr>
          <w:rFonts w:ascii="Arial" w:cs="Arial" w:eastAsia="Arial" w:hAnsi="Arial"/>
          <w:color w:val="333333"/>
          <w:sz w:val="22"/>
          <w:szCs w:val="22"/>
        </w:rPr>
        <w:t xml:space="preserve">Ensures statutory inspections, maintenance, and testing are completed</w:t>
      </w:r>
    </w:p>
    <w:p>
      <w:pPr>
        <w:spacing w:after="0" w:before="80"/>
      </w:pPr>
    </w:p>
    <w:p>
      <w:pPr>
        <w:pStyle w:val="Heading2"/>
      </w:pPr>
      <w:r>
        <w:rPr>
          <w:rFonts w:ascii="Arial" w:cs="Arial" w:eastAsia="Arial" w:hAnsi="Arial"/>
          <w:b/>
          <w:bCs/>
          <w:color w:val="0B1D3A"/>
          <w:sz w:val="24"/>
          <w:szCs w:val="24"/>
        </w:rPr>
        <w:t xml:space="preserve">4.2 All Employees</w:t>
      </w:r>
    </w:p>
    <w:p>
      <w:pPr>
        <w:pStyle w:val="ListParagraph"/>
        <w:numPr>
          <w:ilvl w:val="0"/>
          <w:numId w:val="2"/>
        </w:numPr>
        <w:spacing w:after="80"/>
      </w:pPr>
      <w:r>
        <w:rPr>
          <w:rFonts w:ascii="Arial" w:cs="Arial" w:eastAsia="Arial" w:hAnsi="Arial"/>
          <w:color w:val="333333"/>
          <w:sz w:val="22"/>
          <w:szCs w:val="22"/>
        </w:rPr>
        <w:t xml:space="preserve">Take reasonable care for their own health and safety and that of others (Section 7, HSWA 1974)</w:t>
      </w:r>
    </w:p>
    <w:p>
      <w:pPr>
        <w:pStyle w:val="ListParagraph"/>
        <w:numPr>
          <w:ilvl w:val="0"/>
          <w:numId w:val="2"/>
        </w:numPr>
        <w:spacing w:after="80"/>
      </w:pPr>
      <w:r>
        <w:rPr>
          <w:rFonts w:ascii="Arial" w:cs="Arial" w:eastAsia="Arial" w:hAnsi="Arial"/>
          <w:color w:val="333333"/>
          <w:sz w:val="22"/>
          <w:szCs w:val="22"/>
        </w:rPr>
        <w:t xml:space="preserve">Cooperate with the employer on health and safety matters</w:t>
      </w:r>
    </w:p>
    <w:p>
      <w:pPr>
        <w:pStyle w:val="ListParagraph"/>
        <w:numPr>
          <w:ilvl w:val="0"/>
          <w:numId w:val="2"/>
        </w:numPr>
        <w:spacing w:after="80"/>
      </w:pPr>
      <w:r>
        <w:rPr>
          <w:rFonts w:ascii="Arial" w:cs="Arial" w:eastAsia="Arial" w:hAnsi="Arial"/>
          <w:color w:val="333333"/>
          <w:sz w:val="22"/>
          <w:szCs w:val="22"/>
        </w:rPr>
        <w:t xml:space="preserve">Report hazards, incidents, and near-misses immediately</w:t>
      </w:r>
    </w:p>
    <w:p>
      <w:pPr>
        <w:pStyle w:val="ListParagraph"/>
        <w:numPr>
          <w:ilvl w:val="0"/>
          <w:numId w:val="2"/>
        </w:numPr>
        <w:spacing w:after="80"/>
      </w:pPr>
      <w:r>
        <w:rPr>
          <w:rFonts w:ascii="Arial" w:cs="Arial" w:eastAsia="Arial" w:hAnsi="Arial"/>
          <w:color w:val="333333"/>
          <w:sz w:val="22"/>
          <w:szCs w:val="22"/>
        </w:rPr>
        <w:t xml:space="preserve">Use equipment and PPE in accordance with training and instruction</w:t>
      </w:r>
    </w:p>
    <w:p>
      <w:pPr>
        <w:spacing w:after="0" w:before="80"/>
      </w:pPr>
    </w:p>
    <w:p>
      <w:pPr>
        <w:pStyle w:val="Heading1"/>
      </w:pPr>
      <w:r>
        <w:rPr>
          <w:rFonts w:ascii="Arial" w:cs="Arial" w:eastAsia="Arial" w:hAnsi="Arial"/>
          <w:b/>
          <w:bCs/>
          <w:color w:val="0B1D3A"/>
          <w:sz w:val="28"/>
          <w:szCs w:val="28"/>
        </w:rPr>
        <w:t xml:space="preserve">5. Risk Assessment</w:t>
      </w:r>
    </w:p>
    <w:p>
      <w:pPr>
        <w:spacing w:after="120"/>
        <w:jc w:val="both"/>
      </w:pPr>
      <w:r>
        <w:rPr>
          <w:rFonts w:ascii="Arial" w:cs="Arial" w:eastAsia="Arial" w:hAnsi="Arial"/>
          <w:color w:val="333333"/>
          <w:sz w:val="22"/>
          <w:szCs w:val="22"/>
        </w:rPr>
        <w:t xml:space="preserve">[Insert Organisation Name] shall conduct suitable and sufficient risk assessments in compliance with Regulation 3 of the Management of Health and Safety at Work Regulations 1999. Risk assessments shall cover clinical risks, manual handling (Manual Handling Operations Regulations 1992), display screen equipment (Health and Safety (Display Screen Equipment) Regulations 1992), hazardous substances (COSHH Regulations 2002), fire (Regulatory Reform (Fire Safety) Order 2005), lone working, violence and aggression, and workplace stress. Risk assessments shall be reviewed annually, following any incident, or when circumstances change.</w:t>
      </w:r>
    </w:p>
    <w:p>
      <w:pPr>
        <w:pStyle w:val="Heading1"/>
      </w:pPr>
      <w:r>
        <w:rPr>
          <w:rFonts w:ascii="Arial" w:cs="Arial" w:eastAsia="Arial" w:hAnsi="Arial"/>
          <w:b/>
          <w:bCs/>
          <w:color w:val="0B1D3A"/>
          <w:sz w:val="28"/>
          <w:szCs w:val="28"/>
        </w:rPr>
        <w:t xml:space="preserve">6. Fire Safety</w:t>
      </w:r>
    </w:p>
    <w:p>
      <w:pPr>
        <w:spacing w:after="120"/>
        <w:jc w:val="both"/>
      </w:pPr>
      <w:r>
        <w:rPr>
          <w:rFonts w:ascii="Arial" w:cs="Arial" w:eastAsia="Arial" w:hAnsi="Arial"/>
          <w:color w:val="333333"/>
          <w:sz w:val="22"/>
          <w:szCs w:val="22"/>
        </w:rPr>
        <w:t xml:space="preserve">[Insert Organisation Name] shall comply with the Regulatory Reform (Fire Safety) Order 2005. The Responsible Person shall ensure that a fire risk assessment is conducted and reviewed annually (or after any material change), fire detection, alarm, and suppression systems are installed and maintained, emergency evacuation procedures are documented and practised at minimum six-monthly intervals, fire safety training is provided to all staff at induction and annually, and fire safety records are maintained including test certificates, drill records, and maintenance logs.</w:t>
      </w:r>
    </w:p>
    <w:p>
      <w:pPr>
        <w:pStyle w:val="Heading1"/>
      </w:pPr>
      <w:r>
        <w:rPr>
          <w:rFonts w:ascii="Arial" w:cs="Arial" w:eastAsia="Arial" w:hAnsi="Arial"/>
          <w:b/>
          <w:bCs/>
          <w:color w:val="0B1D3A"/>
          <w:sz w:val="28"/>
          <w:szCs w:val="28"/>
        </w:rPr>
        <w:t xml:space="preserve">7. First Aid</w:t>
      </w:r>
    </w:p>
    <w:p>
      <w:pPr>
        <w:spacing w:after="120"/>
        <w:jc w:val="both"/>
      </w:pPr>
      <w:r>
        <w:rPr>
          <w:rFonts w:ascii="Arial" w:cs="Arial" w:eastAsia="Arial" w:hAnsi="Arial"/>
          <w:color w:val="333333"/>
          <w:sz w:val="22"/>
          <w:szCs w:val="22"/>
        </w:rPr>
        <w:t xml:space="preserve">First aid provision shall comply with the Health and Safety (First-Aid) Regulations 1981. A documented first aid needs assessment shall determine the number of trained first aiders, the contents and location of first aid kits, and the arrangements for emergency medical care during operating hours.</w:t>
      </w:r>
    </w:p>
    <w:p>
      <w:pPr>
        <w:pStyle w:val="Heading1"/>
      </w:pPr>
      <w:r>
        <w:rPr>
          <w:rFonts w:ascii="Arial" w:cs="Arial" w:eastAsia="Arial" w:hAnsi="Arial"/>
          <w:b/>
          <w:bCs/>
          <w:color w:val="0B1D3A"/>
          <w:sz w:val="28"/>
          <w:szCs w:val="28"/>
        </w:rPr>
        <w:t xml:space="preserve">8. Reporting of Injuries, Diseases, and Dangerous Occurrences</w:t>
      </w:r>
    </w:p>
    <w:p>
      <w:pPr>
        <w:spacing w:after="120"/>
        <w:jc w:val="both"/>
      </w:pPr>
      <w:r>
        <w:rPr>
          <w:rFonts w:ascii="Arial" w:cs="Arial" w:eastAsia="Arial" w:hAnsi="Arial"/>
          <w:color w:val="333333"/>
          <w:sz w:val="22"/>
          <w:szCs w:val="22"/>
        </w:rPr>
        <w:t xml:space="preserve">[Insert Organisation Name] shall comply with the Reporting of Injuries, Diseases and Dangerous Occurrences Regulations 2013 (RIDDOR). The following shall be reported to the Health and Safety Executive (HSE) via the online RIDDOR portal: deaths, specified injuries, over-7-day incapacitation, occupational diseases, and dangerous occurrences as defined in Schedule 2 of the Regulations.</w:t>
      </w:r>
    </w:p>
    <w:p>
      <w:pPr>
        <w:pStyle w:val="Heading1"/>
      </w:pPr>
      <w:r>
        <w:rPr>
          <w:rFonts w:ascii="Arial" w:cs="Arial" w:eastAsia="Arial" w:hAnsi="Arial"/>
          <w:b/>
          <w:bCs/>
          <w:color w:val="0B1D3A"/>
          <w:sz w:val="28"/>
          <w:szCs w:val="28"/>
        </w:rPr>
        <w:t xml:space="preserve">9. Training and Competence</w:t>
      </w:r>
    </w:p>
    <w:p>
      <w:pPr>
        <w:spacing w:after="120"/>
        <w:jc w:val="both"/>
      </w:pPr>
      <w:r>
        <w:rPr>
          <w:rFonts w:ascii="Arial" w:cs="Arial" w:eastAsia="Arial" w:hAnsi="Arial"/>
          <w:color w:val="333333"/>
          <w:sz w:val="22"/>
          <w:szCs w:val="22"/>
        </w:rPr>
        <w:t xml:space="preserve">Health and safety training shall be provided at induction and refreshed annually. Role-specific training shall include manual handling, fire marshal training, COSHH awareness, first aid at work, and conflict resolution. Training records shall be maintained centrally.</w:t>
      </w:r>
    </w:p>
    <w:p>
      <w:pPr>
        <w:pStyle w:val="Heading1"/>
      </w:pPr>
      <w:r>
        <w:rPr>
          <w:rFonts w:ascii="Arial" w:cs="Arial" w:eastAsia="Arial" w:hAnsi="Arial"/>
          <w:b/>
          <w:bCs/>
          <w:color w:val="0B1D3A"/>
          <w:sz w:val="28"/>
          <w:szCs w:val="28"/>
        </w:rPr>
        <w:t xml:space="preserve">10. Monitoring and Review</w:t>
      </w:r>
    </w:p>
    <w:p>
      <w:pPr>
        <w:spacing w:after="120"/>
        <w:jc w:val="both"/>
      </w:pPr>
      <w:r>
        <w:rPr>
          <w:rFonts w:ascii="Arial" w:cs="Arial" w:eastAsia="Arial" w:hAnsi="Arial"/>
          <w:color w:val="333333"/>
          <w:sz w:val="22"/>
          <w:szCs w:val="22"/>
        </w:rPr>
        <w:t xml:space="preserve">Health and safety performance shall be monitored through workplace inspections (quarterly), incident and near-miss analysis, risk assessment reviews, and annual health and safety audit. This policy shall be reviewed annually or following any significant incident, legislative change, or organisational restructure.</w:t>
      </w: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Relevance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Safety at Work etc. Act 1974</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General duties of employers and employees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Management of Health and Safety at Work Regulations 1999</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Risk assessment and competent person requirements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Regulatory Reform (Fire Safety) Order 2005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Fire risk assessment and fire safety management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Reporting of Injuries, Diseases and Dangerous Occurrences Regulations 2013 (RIDDOR)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Mandatory reporting of workplace injuries and dangerous occurrences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Manual Handling Operations Regulations 1992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Assessment and reduction of manual handling risks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Control of Substances Hazardous to Health Regulations 2002 (COSHH)</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Assessment and control of hazardous substances exposure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Safety (First-Aid) Regulations 1981</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Provision of first aid in the workplace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Premises and equipment – suitability and safety</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Workplace (Health, Safety and Welfare) Regulations 1992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Standards for workplace facilities and environment</w:t>
            </w:r>
          </w:p>
        </w:tc>
      </w:tr>
    </w:tbl>
    <w:p>
      <w:pPr>
        <w:spacing w:after="0" w:before="200"/>
      </w:pPr>
    </w:p>
    <w:p>
      <w:pPr>
        <w:pStyle w:val="Heading1"/>
      </w:pPr>
      <w:r>
        <w:rPr>
          <w:rFonts w:ascii="Arial" w:cs="Arial" w:eastAsia="Arial" w:hAnsi="Arial"/>
          <w:b/>
          <w:bCs/>
          <w:color w:val="0B1D3A"/>
          <w:sz w:val="28"/>
          <w:szCs w:val="28"/>
        </w:rPr>
        <w:t xml:space="preserve">Document Approval and Sign-Off</w:t>
      </w:r>
    </w:p>
    <w:p>
      <w:pPr>
        <w:spacing w:after="120"/>
        <w:jc w:val="both"/>
      </w:pPr>
      <w:r>
        <w:rPr>
          <w:rFonts w:ascii="Arial" w:cs="Arial" w:eastAsia="Arial" w:hAnsi="Arial"/>
          <w:color w:val="333333"/>
          <w:sz w:val="22"/>
          <w:szCs w:val="22"/>
        </w:rPr>
        <w:t xml:space="preserve">This policy has been reviewed and approved by the following authorised personnel. By signing below, each confirms they have read, understood, and agree to uphold the requirements set out in this document.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template is provided by Barker Scott Ltd as a general compliance resource for CQC-regulated private health clinics. It must be customised to reflect the specific operations, services, and circumstances of [Insert Organisation Name]. Barker Scott Ltd accepts no liability for regulatory outcomes arising from use of this template. Independent legal and clinical advice should be sought as appropriate.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spacing w:before="0"/>
    </w:pPr>
    <w:r>
      <w:rPr>
        <w:rFonts w:ascii="Arial" w:cs="Arial" w:eastAsia="Arial" w:hAnsi="Arial"/>
        <w:color w:val="999999"/>
        <w:sz w:val="16"/>
        <w:szCs w:val="16"/>
      </w:rPr>
      <w:t xml:space="preserve">Ref: BS-PHC-HS-007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Health and Safety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2026-05-15T09:14:28.122Z</dcterms:created>
  <dcterms:modified xsi:type="dcterms:W3CDTF">2026-05-15T09:14:28.122Z</dcterms:modified>
</cp:coreProperties>
</file>

<file path=docProps/custom.xml><?xml version="1.0" encoding="utf-8"?>
<Properties xmlns="http://schemas.openxmlformats.org/officeDocument/2006/custom-properties" xmlns:vt="http://schemas.openxmlformats.org/officeDocument/2006/docPropsVTypes"/>
</file>