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100"/>
        <w:jc w:val="center"/>
      </w:pPr>
      <w:r>
        <w:rPr>
          <w:rFonts w:ascii="Arial" w:cs="Arial" w:eastAsia="Arial" w:hAnsi="Arial"/>
          <w:b/>
          <w:bCs/>
          <w:color w:val="0B1D3A"/>
          <w:sz w:val="40"/>
          <w:szCs w:val="40"/>
        </w:rPr>
        <w:t xml:space="preserve">Infection Prevention and Control Policy</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BS-PHC-IPC-001</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Infection Prevention and Control Policy</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BS-PHC-IPC-001</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Author:</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60"/>
              <w:left w:type="dxa" w:w="100"/>
              <w:bottom w:type="dxa" w:w="60"/>
              <w:right w:type="dxa" w:w="100"/>
            </w:tcMa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Organisation Name]</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policy establishes a comprehensive framework for the prevention, detection, and management of healthcare-associated infections (HCAIs) within [Insert Organisation Name]. It ensures compliance with the Health and Social Care Act 2008 (Regulated Activities) Regulations 2014 (Regulation 12 – Safe Care and Treatment) and the Code of Practice on the Prevention and Control of Infections and Related Guidance (the ‘Hygiene Code’) issued under the Health and Social Care Act 2008.</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policy applies to all clinical and non-clinical staff, visiting healthcare professionals, contractors, and volunteers operating within or on behalf of [Insert Organisation Name]. It covers all clinical environments, consulting rooms, treatment areas, waiting areas, decontamination rooms, and ancillary spaces.</w:t>
      </w:r>
    </w:p>
    <w:p>
      <w:pPr>
        <w:pStyle w:val="Heading1"/>
      </w:pPr>
      <w:r>
        <w:rPr>
          <w:rFonts w:ascii="Arial" w:cs="Arial" w:eastAsia="Arial" w:hAnsi="Arial"/>
          <w:b/>
          <w:bCs/>
          <w:color w:val="0B1D3A"/>
          <w:sz w:val="28"/>
          <w:szCs w:val="28"/>
        </w:rPr>
        <w:t xml:space="preserve">3. Roles and Responsibilities</w:t>
      </w:r>
    </w:p>
    <w:p>
      <w:pPr>
        <w:pStyle w:val="Heading2"/>
      </w:pPr>
      <w:r>
        <w:rPr>
          <w:rFonts w:ascii="Arial" w:cs="Arial" w:eastAsia="Arial" w:hAnsi="Arial"/>
          <w:b/>
          <w:bCs/>
          <w:color w:val="0B1D3A"/>
          <w:sz w:val="24"/>
          <w:szCs w:val="24"/>
        </w:rPr>
        <w:t xml:space="preserve">3.1 Registered Manager / Clinic Director</w:t>
      </w:r>
    </w:p>
    <w:p>
      <w:pPr>
        <w:pStyle w:val="ListParagraph"/>
        <w:numPr>
          <w:ilvl w:val="0"/>
          <w:numId w:val="2"/>
        </w:numPr>
        <w:spacing w:after="80"/>
      </w:pPr>
      <w:r>
        <w:rPr>
          <w:rFonts w:ascii="Arial" w:cs="Arial" w:eastAsia="Arial" w:hAnsi="Arial"/>
          <w:color w:val="333333"/>
          <w:sz w:val="22"/>
          <w:szCs w:val="22"/>
        </w:rPr>
        <w:t xml:space="preserve">Holds overall accountability for infection prevention and control (IPC) within the clinic</w:t>
      </w:r>
    </w:p>
    <w:p>
      <w:pPr>
        <w:pStyle w:val="ListParagraph"/>
        <w:numPr>
          <w:ilvl w:val="0"/>
          <w:numId w:val="2"/>
        </w:numPr>
        <w:spacing w:after="80"/>
      </w:pPr>
      <w:r>
        <w:rPr>
          <w:rFonts w:ascii="Arial" w:cs="Arial" w:eastAsia="Arial" w:hAnsi="Arial"/>
          <w:color w:val="333333"/>
          <w:sz w:val="22"/>
          <w:szCs w:val="22"/>
        </w:rPr>
        <w:t xml:space="preserve">Appoints a designated IPC Lead with appropriate training and competence</w:t>
      </w:r>
    </w:p>
    <w:p>
      <w:pPr>
        <w:pStyle w:val="ListParagraph"/>
        <w:numPr>
          <w:ilvl w:val="0"/>
          <w:numId w:val="2"/>
        </w:numPr>
        <w:spacing w:after="80"/>
      </w:pPr>
      <w:r>
        <w:rPr>
          <w:rFonts w:ascii="Arial" w:cs="Arial" w:eastAsia="Arial" w:hAnsi="Arial"/>
          <w:color w:val="333333"/>
          <w:sz w:val="22"/>
          <w:szCs w:val="22"/>
        </w:rPr>
        <w:t xml:space="preserve">Ensures adequate resources, equipment, and staffing to maintain IPC standards</w:t>
      </w:r>
    </w:p>
    <w:p>
      <w:pPr>
        <w:pStyle w:val="ListParagraph"/>
        <w:numPr>
          <w:ilvl w:val="0"/>
          <w:numId w:val="2"/>
        </w:numPr>
        <w:spacing w:after="80"/>
      </w:pPr>
      <w:r>
        <w:rPr>
          <w:rFonts w:ascii="Arial" w:cs="Arial" w:eastAsia="Arial" w:hAnsi="Arial"/>
          <w:color w:val="333333"/>
          <w:sz w:val="22"/>
          <w:szCs w:val="22"/>
        </w:rPr>
        <w:t xml:space="preserve">Reports notifiable infections to the UK Health Security Agency (UKHSA) and CQC as required</w:t>
      </w:r>
    </w:p>
    <w:p>
      <w:pPr>
        <w:pStyle w:val="ListParagraph"/>
        <w:numPr>
          <w:ilvl w:val="0"/>
          <w:numId w:val="2"/>
        </w:numPr>
        <w:spacing w:after="80"/>
      </w:pPr>
      <w:r>
        <w:rPr>
          <w:rFonts w:ascii="Arial" w:cs="Arial" w:eastAsia="Arial" w:hAnsi="Arial"/>
          <w:color w:val="333333"/>
          <w:sz w:val="22"/>
          <w:szCs w:val="22"/>
        </w:rPr>
        <w:t xml:space="preserve">Ensures annual IPC audits are conducted and documented</w:t>
      </w:r>
    </w:p>
    <w:p>
      <w:pPr>
        <w:spacing w:after="0" w:before="80"/>
      </w:pPr>
    </w:p>
    <w:p>
      <w:pPr>
        <w:pStyle w:val="Heading2"/>
      </w:pPr>
      <w:r>
        <w:rPr>
          <w:rFonts w:ascii="Arial" w:cs="Arial" w:eastAsia="Arial" w:hAnsi="Arial"/>
          <w:b/>
          <w:bCs/>
          <w:color w:val="0B1D3A"/>
          <w:sz w:val="24"/>
          <w:szCs w:val="24"/>
        </w:rPr>
        <w:t xml:space="preserve">3.2 IPC Lead</w:t>
      </w:r>
    </w:p>
    <w:p>
      <w:pPr>
        <w:pStyle w:val="ListParagraph"/>
        <w:numPr>
          <w:ilvl w:val="0"/>
          <w:numId w:val="2"/>
        </w:numPr>
        <w:spacing w:after="80"/>
      </w:pPr>
      <w:r>
        <w:rPr>
          <w:rFonts w:ascii="Arial" w:cs="Arial" w:eastAsia="Arial" w:hAnsi="Arial"/>
          <w:color w:val="333333"/>
          <w:sz w:val="22"/>
          <w:szCs w:val="22"/>
        </w:rPr>
        <w:t xml:space="preserve">Develops and reviews the IPC annual programme and action plan</w:t>
      </w:r>
    </w:p>
    <w:p>
      <w:pPr>
        <w:pStyle w:val="ListParagraph"/>
        <w:numPr>
          <w:ilvl w:val="0"/>
          <w:numId w:val="2"/>
        </w:numPr>
        <w:spacing w:after="80"/>
      </w:pPr>
      <w:r>
        <w:rPr>
          <w:rFonts w:ascii="Arial" w:cs="Arial" w:eastAsia="Arial" w:hAnsi="Arial"/>
          <w:color w:val="333333"/>
          <w:sz w:val="22"/>
          <w:szCs w:val="22"/>
        </w:rPr>
        <w:t xml:space="preserve">Conducts hand hygiene audits, environmental cleanliness audits, and sharps safety audits at minimum quarterly intervals</w:t>
      </w:r>
    </w:p>
    <w:p>
      <w:pPr>
        <w:pStyle w:val="ListParagraph"/>
        <w:numPr>
          <w:ilvl w:val="0"/>
          <w:numId w:val="2"/>
        </w:numPr>
        <w:spacing w:after="80"/>
      </w:pPr>
      <w:r>
        <w:rPr>
          <w:rFonts w:ascii="Arial" w:cs="Arial" w:eastAsia="Arial" w:hAnsi="Arial"/>
          <w:color w:val="333333"/>
          <w:sz w:val="22"/>
          <w:szCs w:val="22"/>
        </w:rPr>
        <w:t xml:space="preserve">Delivers IPC training to all staff at induction and on an annual refresher basis</w:t>
      </w:r>
    </w:p>
    <w:p>
      <w:pPr>
        <w:pStyle w:val="ListParagraph"/>
        <w:numPr>
          <w:ilvl w:val="0"/>
          <w:numId w:val="2"/>
        </w:numPr>
        <w:spacing w:after="80"/>
      </w:pPr>
      <w:r>
        <w:rPr>
          <w:rFonts w:ascii="Arial" w:cs="Arial" w:eastAsia="Arial" w:hAnsi="Arial"/>
          <w:color w:val="333333"/>
          <w:sz w:val="22"/>
          <w:szCs w:val="22"/>
        </w:rPr>
        <w:t xml:space="preserve">Monitors antimicrobial prescribing practices in line with NICE Guideline NG15 (Antimicrobial Stewardship)</w:t>
      </w:r>
    </w:p>
    <w:p>
      <w:pPr>
        <w:pStyle w:val="ListParagraph"/>
        <w:numPr>
          <w:ilvl w:val="0"/>
          <w:numId w:val="2"/>
        </w:numPr>
        <w:spacing w:after="80"/>
      </w:pPr>
      <w:r>
        <w:rPr>
          <w:rFonts w:ascii="Arial" w:cs="Arial" w:eastAsia="Arial" w:hAnsi="Arial"/>
          <w:color w:val="333333"/>
          <w:sz w:val="22"/>
          <w:szCs w:val="22"/>
        </w:rPr>
        <w:t xml:space="preserve">Investigates and documents all IPC incidents, outbreaks, and near-misses</w:t>
      </w:r>
    </w:p>
    <w:p>
      <w:pPr>
        <w:spacing w:after="0" w:before="80"/>
      </w:pPr>
    </w:p>
    <w:p>
      <w:pPr>
        <w:pStyle w:val="Heading2"/>
      </w:pPr>
      <w:r>
        <w:rPr>
          <w:rFonts w:ascii="Arial" w:cs="Arial" w:eastAsia="Arial" w:hAnsi="Arial"/>
          <w:b/>
          <w:bCs/>
          <w:color w:val="0B1D3A"/>
          <w:sz w:val="24"/>
          <w:szCs w:val="24"/>
        </w:rPr>
        <w:t xml:space="preserve">3.3 All Staff</w:t>
      </w:r>
    </w:p>
    <w:p>
      <w:pPr>
        <w:pStyle w:val="ListParagraph"/>
        <w:numPr>
          <w:ilvl w:val="0"/>
          <w:numId w:val="2"/>
        </w:numPr>
        <w:spacing w:after="80"/>
      </w:pPr>
      <w:r>
        <w:rPr>
          <w:rFonts w:ascii="Arial" w:cs="Arial" w:eastAsia="Arial" w:hAnsi="Arial"/>
          <w:color w:val="333333"/>
          <w:sz w:val="22"/>
          <w:szCs w:val="22"/>
        </w:rPr>
        <w:t xml:space="preserve">Comply with standard infection control precautions (SICPs) at all times</w:t>
      </w:r>
    </w:p>
    <w:p>
      <w:pPr>
        <w:pStyle w:val="ListParagraph"/>
        <w:numPr>
          <w:ilvl w:val="0"/>
          <w:numId w:val="2"/>
        </w:numPr>
        <w:spacing w:after="80"/>
      </w:pPr>
      <w:r>
        <w:rPr>
          <w:rFonts w:ascii="Arial" w:cs="Arial" w:eastAsia="Arial" w:hAnsi="Arial"/>
          <w:color w:val="333333"/>
          <w:sz w:val="22"/>
          <w:szCs w:val="22"/>
        </w:rPr>
        <w:t xml:space="preserve">Adhere to the WHO ‘Five Moments for Hand Hygiene’ framework</w:t>
      </w:r>
    </w:p>
    <w:p>
      <w:pPr>
        <w:pStyle w:val="ListParagraph"/>
        <w:numPr>
          <w:ilvl w:val="0"/>
          <w:numId w:val="2"/>
        </w:numPr>
        <w:spacing w:after="80"/>
      </w:pPr>
      <w:r>
        <w:rPr>
          <w:rFonts w:ascii="Arial" w:cs="Arial" w:eastAsia="Arial" w:hAnsi="Arial"/>
          <w:color w:val="333333"/>
          <w:sz w:val="22"/>
          <w:szCs w:val="22"/>
        </w:rPr>
        <w:t xml:space="preserve">Use personal protective equipment (PPE) in accordance with risk assessment and task requirements</w:t>
      </w:r>
    </w:p>
    <w:p>
      <w:pPr>
        <w:pStyle w:val="ListParagraph"/>
        <w:numPr>
          <w:ilvl w:val="0"/>
          <w:numId w:val="2"/>
        </w:numPr>
        <w:spacing w:after="80"/>
      </w:pPr>
      <w:r>
        <w:rPr>
          <w:rFonts w:ascii="Arial" w:cs="Arial" w:eastAsia="Arial" w:hAnsi="Arial"/>
          <w:color w:val="333333"/>
          <w:sz w:val="22"/>
          <w:szCs w:val="22"/>
        </w:rPr>
        <w:t xml:space="preserve">Report IPC incidents, sharps injuries, and suspected infections immediately via the clinic’s incident reporting system</w:t>
      </w:r>
    </w:p>
    <w:p>
      <w:pPr>
        <w:pStyle w:val="ListParagraph"/>
        <w:numPr>
          <w:ilvl w:val="0"/>
          <w:numId w:val="2"/>
        </w:numPr>
        <w:spacing w:after="80"/>
      </w:pPr>
      <w:r>
        <w:rPr>
          <w:rFonts w:ascii="Arial" w:cs="Arial" w:eastAsia="Arial" w:hAnsi="Arial"/>
          <w:color w:val="333333"/>
          <w:sz w:val="22"/>
          <w:szCs w:val="22"/>
        </w:rPr>
        <w:t xml:space="preserve">Maintain up-to-date immunisation status as required for their clinical role</w:t>
      </w:r>
    </w:p>
    <w:p>
      <w:pPr>
        <w:spacing w:after="0" w:before="80"/>
      </w:pPr>
    </w:p>
    <w:p>
      <w:pPr>
        <w:pStyle w:val="Heading1"/>
      </w:pPr>
      <w:r>
        <w:rPr>
          <w:rFonts w:ascii="Arial" w:cs="Arial" w:eastAsia="Arial" w:hAnsi="Arial"/>
          <w:b/>
          <w:bCs/>
          <w:color w:val="0B1D3A"/>
          <w:sz w:val="28"/>
          <w:szCs w:val="28"/>
        </w:rPr>
        <w:t xml:space="preserve">4. Standard Infection Control Precautions</w:t>
      </w:r>
    </w:p>
    <w:p>
      <w:pPr>
        <w:pStyle w:val="Heading2"/>
      </w:pPr>
      <w:r>
        <w:rPr>
          <w:rFonts w:ascii="Arial" w:cs="Arial" w:eastAsia="Arial" w:hAnsi="Arial"/>
          <w:b/>
          <w:bCs/>
          <w:color w:val="0B1D3A"/>
          <w:sz w:val="24"/>
          <w:szCs w:val="24"/>
        </w:rPr>
        <w:t xml:space="preserve">4.1 Hand Hygiene</w:t>
      </w:r>
    </w:p>
    <w:p>
      <w:pPr>
        <w:spacing w:after="120"/>
        <w:jc w:val="both"/>
      </w:pPr>
      <w:r>
        <w:rPr>
          <w:rFonts w:ascii="Arial" w:cs="Arial" w:eastAsia="Arial" w:hAnsi="Arial"/>
          <w:color w:val="333333"/>
          <w:sz w:val="22"/>
          <w:szCs w:val="22"/>
        </w:rPr>
        <w:t xml:space="preserve">All staff shall perform hand hygiene using alcohol-based hand rub (ABHR) or soap and water in accordance with WHO guidance. Soap and water must be used when hands are visibly soiled, after contact with body fluids, and following removal of gloves. Hand hygiene facilities shall be maintained within arm’s reach of all clinical areas.</w:t>
      </w:r>
    </w:p>
    <w:p>
      <w:pPr>
        <w:pStyle w:val="Heading2"/>
      </w:pPr>
      <w:r>
        <w:rPr>
          <w:rFonts w:ascii="Arial" w:cs="Arial" w:eastAsia="Arial" w:hAnsi="Arial"/>
          <w:b/>
          <w:bCs/>
          <w:color w:val="0B1D3A"/>
          <w:sz w:val="24"/>
          <w:szCs w:val="24"/>
        </w:rPr>
        <w:t xml:space="preserve">4.2 Personal Protective Equipment (PPE)</w:t>
      </w:r>
    </w:p>
    <w:p>
      <w:pPr>
        <w:spacing w:after="120"/>
        <w:jc w:val="both"/>
      </w:pPr>
      <w:r>
        <w:rPr>
          <w:rFonts w:ascii="Arial" w:cs="Arial" w:eastAsia="Arial" w:hAnsi="Arial"/>
          <w:color w:val="333333"/>
          <w:sz w:val="22"/>
          <w:szCs w:val="22"/>
        </w:rPr>
        <w:t xml:space="preserve">PPE shall be selected on the basis of a task-specific risk assessment. Disposable gloves, aprons, fluid-resistant surgical masks, and eye protection shall be available in all clinical areas. PPE must be donned immediately before and doffed immediately after each patient contact or procedure, and disposed of as clinical waste.</w:t>
      </w:r>
    </w:p>
    <w:p>
      <w:pPr>
        <w:pStyle w:val="Heading2"/>
      </w:pPr>
      <w:r>
        <w:rPr>
          <w:rFonts w:ascii="Arial" w:cs="Arial" w:eastAsia="Arial" w:hAnsi="Arial"/>
          <w:b/>
          <w:bCs/>
          <w:color w:val="0B1D3A"/>
          <w:sz w:val="24"/>
          <w:szCs w:val="24"/>
        </w:rPr>
        <w:t xml:space="preserve">4.3 Environmental Cleaning and Decontamination</w:t>
      </w:r>
    </w:p>
    <w:p>
      <w:pPr>
        <w:spacing w:after="120"/>
        <w:jc w:val="both"/>
      </w:pPr>
      <w:r>
        <w:rPr>
          <w:rFonts w:ascii="Arial" w:cs="Arial" w:eastAsia="Arial" w:hAnsi="Arial"/>
          <w:color w:val="333333"/>
          <w:sz w:val="22"/>
          <w:szCs w:val="22"/>
        </w:rPr>
        <w:t xml:space="preserve">[Insert Organisation Name] shall maintain a documented cleaning schedule for all clinical and non-clinical areas. High-touch surfaces shall be cleaned and disinfected a minimum of twice daily and between patients. Terminal cleaning shall follow manufacturer’s instructions for disinfectant products. Cleaning products must comply with BS EN 14476 and BS EN 13727 standards.</w:t>
      </w:r>
    </w:p>
    <w:p>
      <w:pPr>
        <w:pStyle w:val="Heading2"/>
      </w:pPr>
      <w:r>
        <w:rPr>
          <w:rFonts w:ascii="Arial" w:cs="Arial" w:eastAsia="Arial" w:hAnsi="Arial"/>
          <w:b/>
          <w:bCs/>
          <w:color w:val="0B1D3A"/>
          <w:sz w:val="24"/>
          <w:szCs w:val="24"/>
        </w:rPr>
        <w:t xml:space="preserve">4.4 Sharps Safety and Clinical Waste</w:t>
      </w:r>
    </w:p>
    <w:p>
      <w:pPr>
        <w:spacing w:after="120"/>
        <w:jc w:val="both"/>
      </w:pPr>
      <w:r>
        <w:rPr>
          <w:rFonts w:ascii="Arial" w:cs="Arial" w:eastAsia="Arial" w:hAnsi="Arial"/>
          <w:color w:val="333333"/>
          <w:sz w:val="22"/>
          <w:szCs w:val="22"/>
        </w:rPr>
        <w:t xml:space="preserve">All sharps must be disposed of immediately after use at the point of care into a BS 7320-compliant sharps container. Containers must be assembled, labelled, and signed in accordance with the Health Technical Memorandum (HTM) 07-01. Clinical waste shall be segregated using the colour-coded waste stream in compliance with HTM 07-01 and the Hazardous Waste (England and Wales) Regulations 2005.</w:t>
      </w:r>
    </w:p>
    <w:p>
      <w:pPr>
        <w:pStyle w:val="Heading2"/>
      </w:pPr>
      <w:r>
        <w:rPr>
          <w:rFonts w:ascii="Arial" w:cs="Arial" w:eastAsia="Arial" w:hAnsi="Arial"/>
          <w:b/>
          <w:bCs/>
          <w:color w:val="0B1D3A"/>
          <w:sz w:val="24"/>
          <w:szCs w:val="24"/>
        </w:rPr>
        <w:t xml:space="preserve">4.5 Decontamination of Reusable Medical Devices</w:t>
      </w:r>
    </w:p>
    <w:p>
      <w:pPr>
        <w:spacing w:after="120"/>
        <w:jc w:val="both"/>
      </w:pPr>
      <w:r>
        <w:rPr>
          <w:rFonts w:ascii="Arial" w:cs="Arial" w:eastAsia="Arial" w:hAnsi="Arial"/>
          <w:color w:val="333333"/>
          <w:sz w:val="22"/>
          <w:szCs w:val="22"/>
        </w:rPr>
        <w:t xml:space="preserve">All reusable medical instruments and devices shall be decontaminated in accordance with HTM 01-01 (Management and Decontamination of Surgical Instruments) and HTM 01-05 (Decontamination in Primary Care and Community Dental Practice) as applicable. Single-use items must never be reprocessed.</w:t>
      </w:r>
    </w:p>
    <w:p>
      <w:pPr>
        <w:pStyle w:val="Heading1"/>
      </w:pPr>
      <w:r>
        <w:rPr>
          <w:rFonts w:ascii="Arial" w:cs="Arial" w:eastAsia="Arial" w:hAnsi="Arial"/>
          <w:b/>
          <w:bCs/>
          <w:color w:val="0B1D3A"/>
          <w:sz w:val="28"/>
          <w:szCs w:val="28"/>
        </w:rPr>
        <w:t xml:space="preserve">5. Outbreak Management</w:t>
      </w:r>
    </w:p>
    <w:p>
      <w:pPr>
        <w:spacing w:after="120"/>
        <w:jc w:val="both"/>
      </w:pPr>
      <w:r>
        <w:rPr>
          <w:rFonts w:ascii="Arial" w:cs="Arial" w:eastAsia="Arial" w:hAnsi="Arial"/>
          <w:color w:val="333333"/>
          <w:sz w:val="22"/>
          <w:szCs w:val="22"/>
        </w:rPr>
        <w:t xml:space="preserve">In the event of a suspected or confirmed infection outbreak, the IPC Lead shall implement the clinic’s outbreak management plan. This includes:</w:t>
      </w:r>
    </w:p>
    <w:p>
      <w:pPr>
        <w:pStyle w:val="ListParagraph"/>
        <w:numPr>
          <w:ilvl w:val="0"/>
          <w:numId w:val="2"/>
        </w:numPr>
        <w:spacing w:after="80"/>
      </w:pPr>
      <w:r>
        <w:rPr>
          <w:rFonts w:ascii="Arial" w:cs="Arial" w:eastAsia="Arial" w:hAnsi="Arial"/>
          <w:color w:val="333333"/>
          <w:sz w:val="22"/>
          <w:szCs w:val="22"/>
        </w:rPr>
        <w:t xml:space="preserve">Immediate isolation of suspected cases and enhanced cleaning of affected areas</w:t>
      </w:r>
    </w:p>
    <w:p>
      <w:pPr>
        <w:pStyle w:val="ListParagraph"/>
        <w:numPr>
          <w:ilvl w:val="0"/>
          <w:numId w:val="2"/>
        </w:numPr>
        <w:spacing w:after="80"/>
      </w:pPr>
      <w:r>
        <w:rPr>
          <w:rFonts w:ascii="Arial" w:cs="Arial" w:eastAsia="Arial" w:hAnsi="Arial"/>
          <w:color w:val="333333"/>
          <w:sz w:val="22"/>
          <w:szCs w:val="22"/>
        </w:rPr>
        <w:t xml:space="preserve">Notification to UKHSA and the local Health Protection Team (HPT) within 24 hours</w:t>
      </w:r>
    </w:p>
    <w:p>
      <w:pPr>
        <w:pStyle w:val="ListParagraph"/>
        <w:numPr>
          <w:ilvl w:val="0"/>
          <w:numId w:val="2"/>
        </w:numPr>
        <w:spacing w:after="80"/>
      </w:pPr>
      <w:r>
        <w:rPr>
          <w:rFonts w:ascii="Arial" w:cs="Arial" w:eastAsia="Arial" w:hAnsi="Arial"/>
          <w:color w:val="333333"/>
          <w:sz w:val="22"/>
          <w:szCs w:val="22"/>
        </w:rPr>
        <w:t xml:space="preserve">Notification to CQC via the statutory notification process</w:t>
      </w:r>
    </w:p>
    <w:p>
      <w:pPr>
        <w:pStyle w:val="ListParagraph"/>
        <w:numPr>
          <w:ilvl w:val="0"/>
          <w:numId w:val="2"/>
        </w:numPr>
        <w:spacing w:after="80"/>
      </w:pPr>
      <w:r>
        <w:rPr>
          <w:rFonts w:ascii="Arial" w:cs="Arial" w:eastAsia="Arial" w:hAnsi="Arial"/>
          <w:color w:val="333333"/>
          <w:sz w:val="22"/>
          <w:szCs w:val="22"/>
        </w:rPr>
        <w:t xml:space="preserve">Restriction of admissions or services where clinically indicated</w:t>
      </w:r>
    </w:p>
    <w:p>
      <w:pPr>
        <w:pStyle w:val="ListParagraph"/>
        <w:numPr>
          <w:ilvl w:val="0"/>
          <w:numId w:val="2"/>
        </w:numPr>
        <w:spacing w:after="80"/>
      </w:pPr>
      <w:r>
        <w:rPr>
          <w:rFonts w:ascii="Arial" w:cs="Arial" w:eastAsia="Arial" w:hAnsi="Arial"/>
          <w:color w:val="333333"/>
          <w:sz w:val="22"/>
          <w:szCs w:val="22"/>
        </w:rPr>
        <w:t xml:space="preserve">Post-outbreak review, root cause analysis, and documented lessons learned</w:t>
      </w:r>
    </w:p>
    <w:p>
      <w:pPr>
        <w:spacing w:after="0" w:before="80"/>
      </w:pPr>
    </w:p>
    <w:p>
      <w:pPr>
        <w:pStyle w:val="Heading1"/>
      </w:pPr>
      <w:r>
        <w:rPr>
          <w:rFonts w:ascii="Arial" w:cs="Arial" w:eastAsia="Arial" w:hAnsi="Arial"/>
          <w:b/>
          <w:bCs/>
          <w:color w:val="0B1D3A"/>
          <w:sz w:val="28"/>
          <w:szCs w:val="28"/>
        </w:rPr>
        <w:t xml:space="preserve">6. Antimicrobial Stewardship</w:t>
      </w:r>
    </w:p>
    <w:p>
      <w:pPr>
        <w:spacing w:after="120"/>
        <w:jc w:val="both"/>
      </w:pPr>
      <w:r>
        <w:rPr>
          <w:rFonts w:ascii="Arial" w:cs="Arial" w:eastAsia="Arial" w:hAnsi="Arial"/>
          <w:color w:val="333333"/>
          <w:sz w:val="22"/>
          <w:szCs w:val="22"/>
        </w:rPr>
        <w:t xml:space="preserve">Where [Insert Organisation Name] provides services involving antimicrobial prescribing, prescribers shall follow NICE Guideline NG15 (Antimicrobial Stewardship: Systems and Processes for Effective Antimicrobial Medicine Use). Prescribing decisions shall be guided by local antimicrobial formularies and sensitivity data. Antimicrobial usage shall be audited at minimum six-monthly intervals.</w:t>
      </w:r>
    </w:p>
    <w:p>
      <w:pPr>
        <w:pStyle w:val="Heading1"/>
      </w:pPr>
      <w:r>
        <w:rPr>
          <w:rFonts w:ascii="Arial" w:cs="Arial" w:eastAsia="Arial" w:hAnsi="Arial"/>
          <w:b/>
          <w:bCs/>
          <w:color w:val="0B1D3A"/>
          <w:sz w:val="28"/>
          <w:szCs w:val="28"/>
        </w:rPr>
        <w:t xml:space="preserve">7. Training and Competence</w:t>
      </w:r>
    </w:p>
    <w:p>
      <w:pPr>
        <w:spacing w:after="120"/>
        <w:jc w:val="both"/>
      </w:pPr>
      <w:r>
        <w:rPr>
          <w:rFonts w:ascii="Arial" w:cs="Arial" w:eastAsia="Arial" w:hAnsi="Arial"/>
          <w:color w:val="333333"/>
          <w:sz w:val="22"/>
          <w:szCs w:val="22"/>
        </w:rPr>
        <w:t xml:space="preserve">All staff shall receive IPC training as follows:</w:t>
      </w:r>
    </w:p>
    <w:p>
      <w:pPr>
        <w:pStyle w:val="ListParagraph"/>
        <w:numPr>
          <w:ilvl w:val="0"/>
          <w:numId w:val="2"/>
        </w:numPr>
        <w:spacing w:after="80"/>
      </w:pPr>
      <w:r>
        <w:rPr>
          <w:rFonts w:ascii="Arial" w:cs="Arial" w:eastAsia="Arial" w:hAnsi="Arial"/>
          <w:color w:val="333333"/>
          <w:sz w:val="22"/>
          <w:szCs w:val="22"/>
        </w:rPr>
        <w:t xml:space="preserve">IPC induction training prior to unsupervised patient contact</w:t>
      </w:r>
    </w:p>
    <w:p>
      <w:pPr>
        <w:pStyle w:val="ListParagraph"/>
        <w:numPr>
          <w:ilvl w:val="0"/>
          <w:numId w:val="2"/>
        </w:numPr>
        <w:spacing w:after="80"/>
      </w:pPr>
      <w:r>
        <w:rPr>
          <w:rFonts w:ascii="Arial" w:cs="Arial" w:eastAsia="Arial" w:hAnsi="Arial"/>
          <w:color w:val="333333"/>
          <w:sz w:val="22"/>
          <w:szCs w:val="22"/>
        </w:rPr>
        <w:t xml:space="preserve">Annual IPC refresher training including hand hygiene technique assessment</w:t>
      </w:r>
    </w:p>
    <w:p>
      <w:pPr>
        <w:pStyle w:val="ListParagraph"/>
        <w:numPr>
          <w:ilvl w:val="0"/>
          <w:numId w:val="2"/>
        </w:numPr>
        <w:spacing w:after="80"/>
      </w:pPr>
      <w:r>
        <w:rPr>
          <w:rFonts w:ascii="Arial" w:cs="Arial" w:eastAsia="Arial" w:hAnsi="Arial"/>
          <w:color w:val="333333"/>
          <w:sz w:val="22"/>
          <w:szCs w:val="22"/>
        </w:rPr>
        <w:t xml:space="preserve">Role-specific training for staff involved in invasive procedures, decontamination, or waste management</w:t>
      </w:r>
    </w:p>
    <w:p>
      <w:pPr>
        <w:pStyle w:val="ListParagraph"/>
        <w:numPr>
          <w:ilvl w:val="0"/>
          <w:numId w:val="2"/>
        </w:numPr>
        <w:spacing w:after="80"/>
      </w:pPr>
      <w:r>
        <w:rPr>
          <w:rFonts w:ascii="Arial" w:cs="Arial" w:eastAsia="Arial" w:hAnsi="Arial"/>
          <w:color w:val="333333"/>
          <w:sz w:val="22"/>
          <w:szCs w:val="22"/>
        </w:rPr>
        <w:t xml:space="preserve">Training records shall be maintained and available for CQC inspection</w:t>
      </w:r>
    </w:p>
    <w:p>
      <w:pPr>
        <w:spacing w:after="0" w:before="80"/>
      </w:pPr>
    </w:p>
    <w:p>
      <w:pPr>
        <w:pStyle w:val="Heading1"/>
      </w:pPr>
      <w:r>
        <w:rPr>
          <w:rFonts w:ascii="Arial" w:cs="Arial" w:eastAsia="Arial" w:hAnsi="Arial"/>
          <w:b/>
          <w:bCs/>
          <w:color w:val="0B1D3A"/>
          <w:sz w:val="28"/>
          <w:szCs w:val="28"/>
        </w:rPr>
        <w:t xml:space="preserve">8. Audit, Monitoring, and Review</w:t>
      </w:r>
    </w:p>
    <w:p>
      <w:pPr>
        <w:spacing w:after="120"/>
        <w:jc w:val="both"/>
      </w:pPr>
      <w:r>
        <w:rPr>
          <w:rFonts w:ascii="Arial" w:cs="Arial" w:eastAsia="Arial" w:hAnsi="Arial"/>
          <w:color w:val="333333"/>
          <w:sz w:val="22"/>
          <w:szCs w:val="22"/>
        </w:rPr>
        <w:t xml:space="preserve">The following audits shall be conducted at the stated intervals: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13"/>
        <w:gridCol w:w="2513"/>
        <w:gridCol w:w="3000"/>
      </w:tblGrid>
      <w:tr>
        <w:tc>
          <w:tcPr>
            <w:tcW w:type="dxa" w:w="3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Audit Area</w:t>
            </w:r>
          </w:p>
        </w:tc>
        <w:tc>
          <w:tcPr>
            <w:tcW w:type="dxa" w:w="2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Frequency</w:t>
            </w:r>
          </w:p>
        </w:tc>
        <w:tc>
          <w:tcPr>
            <w:tcW w:type="dxa" w:w="3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Responsible Person</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Hand Hygiene Compliance</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Quarterly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IPC Lead</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Environmental Cleanliness</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Monthly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IPC Lead / Facilities Manager</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Sharps Safety Audit</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Quarterly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IPC Lead</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Antimicrobial Prescribing Audit</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Six-Monthly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Clinical Lead</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Staff IPC Training Compliance</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Registered Manager</w:t>
            </w:r>
          </w:p>
        </w:tc>
      </w:tr>
      <w:tr>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IPC Policy Review</w:t>
            </w:r>
          </w:p>
        </w:tc>
        <w:tc>
          <w:tcPr>
            <w:tcW w:type="dxa" w:w="2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Annually (or following incident)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Registered Manager</w:t>
            </w:r>
          </w:p>
        </w:tc>
      </w:tr>
    </w:tbl>
    <w:p>
      <w:pPr>
        <w:spacing w:after="0" w:before="12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Relevance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(Regulated Activities) Regulations 2014, Regulation 12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Safe care and treatment including infection prevention and control</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Health and Social Care Act 2008, Code of Practice (Hygiene Code)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Sets out the 10 criteria for IPC compliance for CQC-registered providers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The Health Protection (Notification) Regulations 2010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Mandatory reporting of specified infectious diseases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Hazardous Waste (England and Wales) Regulations 2005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Classification, segregation, and disposal of clinical waste</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Control of Substances Hazardous to Health Regulations 2002 (COSHH)</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Safe use of cleaning agents, disinfectants, and chemical decontaminants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NICE Guideline NG15 – Antimicrobial Stewardship</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Governance of antimicrobial prescribing practices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HTM 07-01 – Safe Management of Healthcare Waste</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Clinical waste management standards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HTM 01-01 / HTM 01-05 – Decontamination Standards</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Decontamination of reusable medical devices</w:t>
            </w:r>
          </w:p>
        </w:tc>
      </w:tr>
    </w:tbl>
    <w:p>
      <w:pPr>
        <w:spacing w:after="0" w:before="200"/>
      </w:pPr>
    </w:p>
    <w:p>
      <w:pPr>
        <w:pStyle w:val="Heading1"/>
      </w:pPr>
      <w:r>
        <w:rPr>
          <w:rFonts w:ascii="Arial" w:cs="Arial" w:eastAsia="Arial" w:hAnsi="Arial"/>
          <w:b/>
          <w:bCs/>
          <w:color w:val="0B1D3A"/>
          <w:sz w:val="28"/>
          <w:szCs w:val="28"/>
        </w:rPr>
        <w:t xml:space="preserve">Document Approval and Sign-Off</w:t>
      </w:r>
    </w:p>
    <w:p>
      <w:pPr>
        <w:spacing w:after="120"/>
        <w:jc w:val="both"/>
      </w:pPr>
      <w:r>
        <w:rPr>
          <w:rFonts w:ascii="Arial" w:cs="Arial" w:eastAsia="Arial" w:hAnsi="Arial"/>
          <w:color w:val="333333"/>
          <w:sz w:val="22"/>
          <w:szCs w:val="22"/>
        </w:rPr>
        <w:t xml:space="preserve">This policy has been reviewed and approved by the following authorised personnel. By signing below, each confirms they have read, understood, and agree to uphold the requirements set out in this document.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Compliance Officer</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template is provided by Barker Scott Ltd as a general compliance resource for CQC-regulated private health clinics. It must be customised to reflect the specific operations, services, and circumstances of [Insert Organisation Name]. Barker Scott Ltd accepts no liability for regulatory outcomes arising from use of this template. Independent legal and clinical advice should be sought as appropriate.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spacing w:before="0"/>
    </w:pPr>
    <w:r>
      <w:rPr>
        <w:rFonts w:ascii="Arial" w:cs="Arial" w:eastAsia="Arial" w:hAnsi="Arial"/>
        <w:color w:val="999999"/>
        <w:sz w:val="16"/>
        <w:szCs w:val="16"/>
      </w:rPr>
      <w:t xml:space="preserve">Ref: BS-PHC-IPC-001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Infection Prevention and Control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2026-05-15T09:14:27.087Z</dcterms:created>
  <dcterms:modified xsi:type="dcterms:W3CDTF">2026-05-15T09:14:27.106Z</dcterms:modified>
</cp:coreProperties>
</file>

<file path=docProps/custom.xml><?xml version="1.0" encoding="utf-8"?>
<Properties xmlns="http://schemas.openxmlformats.org/officeDocument/2006/custom-properties" xmlns:vt="http://schemas.openxmlformats.org/officeDocument/2006/docPropsVTypes"/>
</file>