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0"/>
        <w:jc w:val="center"/>
      </w:pPr>
      <w:r>
        <w:rPr>
          <w:rFonts w:ascii="Arial" w:cs="Arial" w:eastAsia="Arial" w:hAnsi="Arial"/>
          <w:b/>
          <w:bCs/>
          <w:color w:val="0B1D3A"/>
          <w:sz w:val="56"/>
          <w:szCs w:val="56"/>
        </w:rPr>
        <w:t xml:space="preserve">BARKER SCOTT</w:t>
      </w:r>
    </w:p>
    <w:p>
      <w:pPr>
        <w:spacing w:after="200"/>
        <w:jc w:val="center"/>
      </w:pPr>
      <w:r>
        <w:rPr>
          <w:rFonts w:ascii="Arial" w:cs="Arial" w:eastAsia="Arial" w:hAnsi="Arial"/>
          <w:color w:val="D4AF37"/>
          <w:sz w:val="24"/>
          <w:szCs w:val="24"/>
        </w:rPr>
        <w:t xml:space="preserve">CQC Compliance Templates</w:t>
      </w:r>
    </w:p>
    <w:p>
      <w:pPr>
        <w:pBdr>
          <w:bottom w:val="single" w:color="0B1D3A" w:sz="6" w:space="1"/>
        </w:pBdr>
        <w:spacing w:after="100" w:before="100"/>
      </w:pPr>
    </w:p>
    <w:p>
      <w:pPr>
        <w:spacing w:after="0" w:before="400"/>
      </w:pPr>
    </w:p>
    <w:p>
      <w:pPr>
        <w:spacing w:after="100"/>
        <w:jc w:val="center"/>
      </w:pPr>
      <w:r>
        <w:rPr>
          <w:rFonts w:ascii="Arial" w:cs="Arial" w:eastAsia="Arial" w:hAnsi="Arial"/>
          <w:b/>
          <w:bCs/>
          <w:color w:val="0B1D3A"/>
          <w:sz w:val="40"/>
          <w:szCs w:val="40"/>
        </w:rPr>
        <w:t xml:space="preserve">Medicines Management Policy</w:t>
      </w:r>
    </w:p>
    <w:p>
      <w:pPr>
        <w:spacing w:after="100"/>
        <w:jc w:val="center"/>
      </w:pPr>
      <w:r>
        <w:rPr>
          <w:rFonts w:ascii="Arial" w:cs="Arial" w:eastAsia="Arial" w:hAnsi="Arial"/>
          <w:color w:val="999999"/>
          <w:sz w:val="24"/>
          <w:szCs w:val="24"/>
        </w:rPr>
        <w:t xml:space="preserve">For CQC-Registered Private Health Clinics</w:t>
      </w:r>
    </w:p>
    <w:p>
      <w:pPr>
        <w:pBdr>
          <w:bottom w:val="single" w:color="0B1D3A" w:sz="6" w:space="1"/>
        </w:pBdr>
        <w:spacing w:after="100" w:before="100"/>
      </w:pPr>
    </w:p>
    <w:p>
      <w:pPr>
        <w:spacing w:after="0" w:before="200"/>
      </w:pPr>
    </w:p>
    <w:p>
      <w:pPr>
        <w:jc w:val="center"/>
      </w:pPr>
      <w:r>
        <w:rPr>
          <w:rFonts w:ascii="Arial" w:cs="Arial" w:eastAsia="Arial" w:hAnsi="Arial"/>
          <w:b/>
          <w:bCs/>
          <w:color w:val="D4AF37"/>
          <w:sz w:val="24"/>
          <w:szCs w:val="24"/>
        </w:rPr>
        <w:t xml:space="preserve">Private Health Clinic Sector</w:t>
      </w:r>
    </w:p>
    <w:p>
      <w:pPr>
        <w:spacing w:after="0" w:before="100"/>
      </w:pPr>
    </w:p>
    <w:p>
      <w:pPr>
        <w:jc w:val="center"/>
      </w:pPr>
      <w:r>
        <w:rPr>
          <w:rFonts w:ascii="Arial" w:cs="Arial" w:eastAsia="Arial" w:hAnsi="Arial"/>
          <w:color w:val="999999"/>
          <w:sz w:val="20"/>
          <w:szCs w:val="20"/>
        </w:rPr>
        <w:t xml:space="preserve">Document Reference: BS-PHC-MM-003</w:t>
      </w:r>
    </w:p>
    <w:p>
      <w:pPr>
        <w:jc w:val="center"/>
      </w:pPr>
      <w:r>
        <w:rPr>
          <w:rFonts w:ascii="Arial" w:cs="Arial" w:eastAsia="Arial" w:hAnsi="Arial"/>
          <w:color w:val="999999"/>
          <w:sz w:val="20"/>
          <w:szCs w:val="20"/>
        </w:rPr>
        <w:t xml:space="preserve">Version 1.0</w:t>
      </w:r>
    </w:p>
    <w:p>
      <w:pPr>
        <w:spacing w:after="0" w:before="600"/>
      </w:pPr>
    </w:p>
    <w:p>
      <w:pPr>
        <w:spacing w:after="40"/>
        <w:jc w:val="center"/>
      </w:pPr>
      <w:r>
        <w:rPr>
          <w:rFonts w:ascii="Arial" w:cs="Arial" w:eastAsia="Arial" w:hAnsi="Arial"/>
          <w:b/>
          <w:bCs/>
          <w:color w:val="0B1D3A"/>
          <w:sz w:val="28"/>
          <w:szCs w:val="28"/>
        </w:rPr>
        <w:t xml:space="preserve">[Insert Organisation Name]</w:t>
      </w:r>
    </w:p>
    <w:p>
      <w:pPr>
        <w:spacing w:after="0" w:before="400"/>
      </w:pPr>
    </w:p>
    <w:p>
      <w:pPr>
        <w:pBdr>
          <w:top w:val="single" w:color="D4AF37" w:sz="2" w:space="8"/>
        </w:pBdr>
        <w:spacing w:before="200"/>
        <w:jc w:val="center"/>
      </w:pPr>
      <w:r>
        <w:rPr>
          <w:rFonts w:ascii="Arial" w:cs="Arial" w:eastAsia="Arial" w:hAnsi="Arial"/>
          <w:i/>
          <w:iCs/>
          <w:color w:val="999999"/>
          <w:sz w:val="18"/>
          <w:szCs w:val="18"/>
        </w:rPr>
        <w:t xml:space="preserve">CONFIDENTIAL – FOR INTERNAL USE ONLY</w:t>
      </w:r>
    </w:p>
    <w:p>
      <w:r>
        <w:br w:type="page"/>
      </w:r>
    </w:p>
    <w:p>
      <w:pPr>
        <w:pStyle w:val="Heading1"/>
      </w:pPr>
      <w:r>
        <w:rPr>
          <w:rFonts w:ascii="Arial" w:cs="Arial" w:eastAsia="Arial" w:hAnsi="Arial"/>
          <w:b/>
          <w:bCs/>
          <w:color w:val="0B1D3A"/>
          <w:sz w:val="28"/>
          <w:szCs w:val="28"/>
        </w:rPr>
        <w:t xml:space="preserve">Document Control</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Document Title:</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Medicines Management Policy</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Document Reference:</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BS-PHC-MM-003</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Version:</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Date of Issue:</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Review Date:</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 + 12 Months]</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Author:</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Approved By:</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 / Governance Lead]</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Organisation:</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Organisation Name]</w:t>
            </w:r>
          </w:p>
        </w:tc>
      </w:tr>
    </w:tbl>
    <w:p>
      <w:pPr>
        <w:spacing w:after="0" w:before="200"/>
      </w:pPr>
    </w:p>
    <w:p>
      <w:pPr>
        <w:pStyle w:val="Heading1"/>
      </w:pPr>
      <w:r>
        <w:rPr>
          <w:rFonts w:ascii="Arial" w:cs="Arial" w:eastAsia="Arial" w:hAnsi="Arial"/>
          <w:b/>
          <w:bCs/>
          <w:color w:val="0B1D3A"/>
          <w:sz w:val="28"/>
          <w:szCs w:val="28"/>
        </w:rPr>
        <w:t xml:space="preserve">1. Purpose</w:t>
      </w:r>
    </w:p>
    <w:p>
      <w:pPr>
        <w:spacing w:after="120"/>
        <w:jc w:val="both"/>
      </w:pPr>
      <w:r>
        <w:rPr>
          <w:rFonts w:ascii="Arial" w:cs="Arial" w:eastAsia="Arial" w:hAnsi="Arial"/>
          <w:color w:val="333333"/>
          <w:sz w:val="22"/>
          <w:szCs w:val="22"/>
        </w:rPr>
        <w:t xml:space="preserve">This policy sets out the procedures for the safe procurement, storage, prescribing, dispensing, administration, and disposal of medicines within [Insert Organisation Name]. It ensures compliance with the Health and Social Care Act 2008 (Regulated Activities) Regulations 2014 (Regulation 12 – Safe Care and Treatment), the Medicines Act 1968, the Misuse of Drugs Act 1971, the Misuse of Drugs Regulations 2001, and the Human Medicines Regulations 2012.</w:t>
      </w:r>
    </w:p>
    <w:p>
      <w:pPr>
        <w:pStyle w:val="Heading1"/>
      </w:pPr>
      <w:r>
        <w:rPr>
          <w:rFonts w:ascii="Arial" w:cs="Arial" w:eastAsia="Arial" w:hAnsi="Arial"/>
          <w:b/>
          <w:bCs/>
          <w:color w:val="0B1D3A"/>
          <w:sz w:val="28"/>
          <w:szCs w:val="28"/>
        </w:rPr>
        <w:t xml:space="preserve">2. Scope</w:t>
      </w:r>
    </w:p>
    <w:p>
      <w:pPr>
        <w:spacing w:after="120"/>
        <w:jc w:val="both"/>
      </w:pPr>
      <w:r>
        <w:rPr>
          <w:rFonts w:ascii="Arial" w:cs="Arial" w:eastAsia="Arial" w:hAnsi="Arial"/>
          <w:color w:val="333333"/>
          <w:sz w:val="22"/>
          <w:szCs w:val="22"/>
        </w:rPr>
        <w:t xml:space="preserve">This policy covers all prescription-only medicines (POMs), controlled drugs (CDs), pharmacy medicines (P), general sale list medicines (GSL), and medical gases procured, stored, or administered by [Insert Organisation Name]. It applies to all prescribers, pharmacists, clinical staff, and non-clinical staff involved in any aspect of medicines management.</w:t>
      </w:r>
    </w:p>
    <w:p>
      <w:pPr>
        <w:pStyle w:val="Heading1"/>
      </w:pPr>
      <w:r>
        <w:rPr>
          <w:rFonts w:ascii="Arial" w:cs="Arial" w:eastAsia="Arial" w:hAnsi="Arial"/>
          <w:b/>
          <w:bCs/>
          <w:color w:val="0B1D3A"/>
          <w:sz w:val="28"/>
          <w:szCs w:val="28"/>
        </w:rPr>
        <w:t xml:space="preserve">3. Roles and Responsibilities</w:t>
      </w:r>
    </w:p>
    <w:p>
      <w:pPr>
        <w:pStyle w:val="Heading2"/>
      </w:pPr>
      <w:r>
        <w:rPr>
          <w:rFonts w:ascii="Arial" w:cs="Arial" w:eastAsia="Arial" w:hAnsi="Arial"/>
          <w:b/>
          <w:bCs/>
          <w:color w:val="0B1D3A"/>
          <w:sz w:val="24"/>
          <w:szCs w:val="24"/>
        </w:rPr>
        <w:t xml:space="preserve">3.1 Registered Manager / Clinic Director</w:t>
      </w:r>
    </w:p>
    <w:p>
      <w:pPr>
        <w:pStyle w:val="ListParagraph"/>
        <w:numPr>
          <w:ilvl w:val="0"/>
          <w:numId w:val="2"/>
        </w:numPr>
        <w:spacing w:after="80"/>
      </w:pPr>
      <w:r>
        <w:rPr>
          <w:rFonts w:ascii="Arial" w:cs="Arial" w:eastAsia="Arial" w:hAnsi="Arial"/>
          <w:color w:val="333333"/>
          <w:sz w:val="22"/>
          <w:szCs w:val="22"/>
        </w:rPr>
        <w:t xml:space="preserve">Holds overall accountability for medicines management within the clinic</w:t>
      </w:r>
    </w:p>
    <w:p>
      <w:pPr>
        <w:pStyle w:val="ListParagraph"/>
        <w:numPr>
          <w:ilvl w:val="0"/>
          <w:numId w:val="2"/>
        </w:numPr>
        <w:spacing w:after="80"/>
      </w:pPr>
      <w:r>
        <w:rPr>
          <w:rFonts w:ascii="Arial" w:cs="Arial" w:eastAsia="Arial" w:hAnsi="Arial"/>
          <w:color w:val="333333"/>
          <w:sz w:val="22"/>
          <w:szCs w:val="22"/>
        </w:rPr>
        <w:t xml:space="preserve">Ensures a named Medicines Management Lead is appointed</w:t>
      </w:r>
    </w:p>
    <w:p>
      <w:pPr>
        <w:pStyle w:val="ListParagraph"/>
        <w:numPr>
          <w:ilvl w:val="0"/>
          <w:numId w:val="2"/>
        </w:numPr>
        <w:spacing w:after="80"/>
      </w:pPr>
      <w:r>
        <w:rPr>
          <w:rFonts w:ascii="Arial" w:cs="Arial" w:eastAsia="Arial" w:hAnsi="Arial"/>
          <w:color w:val="333333"/>
          <w:sz w:val="22"/>
          <w:szCs w:val="22"/>
        </w:rPr>
        <w:t xml:space="preserve">Ensures all prescribers hold current and valid professional registration</w:t>
      </w:r>
    </w:p>
    <w:p>
      <w:pPr>
        <w:pStyle w:val="ListParagraph"/>
        <w:numPr>
          <w:ilvl w:val="0"/>
          <w:numId w:val="2"/>
        </w:numPr>
        <w:spacing w:after="80"/>
      </w:pPr>
      <w:r>
        <w:rPr>
          <w:rFonts w:ascii="Arial" w:cs="Arial" w:eastAsia="Arial" w:hAnsi="Arial"/>
          <w:color w:val="333333"/>
          <w:sz w:val="22"/>
          <w:szCs w:val="22"/>
        </w:rPr>
        <w:t xml:space="preserve">Ensures the clinic holds appropriate Home Office licences for controlled drugs as required</w:t>
      </w:r>
    </w:p>
    <w:p>
      <w:pPr>
        <w:spacing w:after="0" w:before="80"/>
      </w:pPr>
    </w:p>
    <w:p>
      <w:pPr>
        <w:pStyle w:val="Heading2"/>
      </w:pPr>
      <w:r>
        <w:rPr>
          <w:rFonts w:ascii="Arial" w:cs="Arial" w:eastAsia="Arial" w:hAnsi="Arial"/>
          <w:b/>
          <w:bCs/>
          <w:color w:val="0B1D3A"/>
          <w:sz w:val="24"/>
          <w:szCs w:val="24"/>
        </w:rPr>
        <w:t xml:space="preserve">3.2 Prescribers (Doctors, Non-Medical Prescribers)</w:t>
      </w:r>
    </w:p>
    <w:p>
      <w:pPr>
        <w:pStyle w:val="ListParagraph"/>
        <w:numPr>
          <w:ilvl w:val="0"/>
          <w:numId w:val="2"/>
        </w:numPr>
        <w:spacing w:after="80"/>
      </w:pPr>
      <w:r>
        <w:rPr>
          <w:rFonts w:ascii="Arial" w:cs="Arial" w:eastAsia="Arial" w:hAnsi="Arial"/>
          <w:color w:val="333333"/>
          <w:sz w:val="22"/>
          <w:szCs w:val="22"/>
        </w:rPr>
        <w:t xml:space="preserve">Prescribe within their scope of practice and competence</w:t>
      </w:r>
    </w:p>
    <w:p>
      <w:pPr>
        <w:pStyle w:val="ListParagraph"/>
        <w:numPr>
          <w:ilvl w:val="0"/>
          <w:numId w:val="2"/>
        </w:numPr>
        <w:spacing w:after="80"/>
      </w:pPr>
      <w:r>
        <w:rPr>
          <w:rFonts w:ascii="Arial" w:cs="Arial" w:eastAsia="Arial" w:hAnsi="Arial"/>
          <w:color w:val="333333"/>
          <w:sz w:val="22"/>
          <w:szCs w:val="22"/>
        </w:rPr>
        <w:t xml:space="preserve">Follow NICE clinical guidelines and the clinic’s formulary</w:t>
      </w:r>
    </w:p>
    <w:p>
      <w:pPr>
        <w:pStyle w:val="ListParagraph"/>
        <w:numPr>
          <w:ilvl w:val="0"/>
          <w:numId w:val="2"/>
        </w:numPr>
        <w:spacing w:after="80"/>
      </w:pPr>
      <w:r>
        <w:rPr>
          <w:rFonts w:ascii="Arial" w:cs="Arial" w:eastAsia="Arial" w:hAnsi="Arial"/>
          <w:color w:val="333333"/>
          <w:sz w:val="22"/>
          <w:szCs w:val="22"/>
        </w:rPr>
        <w:t xml:space="preserve">Document all prescribing decisions in the patient’s clinical record</w:t>
      </w:r>
    </w:p>
    <w:p>
      <w:pPr>
        <w:pStyle w:val="ListParagraph"/>
        <w:numPr>
          <w:ilvl w:val="0"/>
          <w:numId w:val="2"/>
        </w:numPr>
        <w:spacing w:after="80"/>
      </w:pPr>
      <w:r>
        <w:rPr>
          <w:rFonts w:ascii="Arial" w:cs="Arial" w:eastAsia="Arial" w:hAnsi="Arial"/>
          <w:color w:val="333333"/>
          <w:sz w:val="22"/>
          <w:szCs w:val="22"/>
        </w:rPr>
        <w:t xml:space="preserve">Verify patient identity, allergies, and current medications before prescribing</w:t>
      </w:r>
    </w:p>
    <w:p>
      <w:pPr>
        <w:pStyle w:val="ListParagraph"/>
        <w:numPr>
          <w:ilvl w:val="0"/>
          <w:numId w:val="2"/>
        </w:numPr>
        <w:spacing w:after="80"/>
      </w:pPr>
      <w:r>
        <w:rPr>
          <w:rFonts w:ascii="Arial" w:cs="Arial" w:eastAsia="Arial" w:hAnsi="Arial"/>
          <w:color w:val="333333"/>
          <w:sz w:val="22"/>
          <w:szCs w:val="22"/>
        </w:rPr>
        <w:t xml:space="preserve">Review repeat prescriptions at appropriate intervals</w:t>
      </w:r>
    </w:p>
    <w:p>
      <w:pPr>
        <w:spacing w:after="0" w:before="80"/>
      </w:pPr>
    </w:p>
    <w:p>
      <w:pPr>
        <w:pStyle w:val="Heading2"/>
      </w:pPr>
      <w:r>
        <w:rPr>
          <w:rFonts w:ascii="Arial" w:cs="Arial" w:eastAsia="Arial" w:hAnsi="Arial"/>
          <w:b/>
          <w:bCs/>
          <w:color w:val="0B1D3A"/>
          <w:sz w:val="24"/>
          <w:szCs w:val="24"/>
        </w:rPr>
        <w:t xml:space="preserve">3.3 All Clinical Staff Administering Medicines</w:t>
      </w:r>
    </w:p>
    <w:p>
      <w:pPr>
        <w:pStyle w:val="ListParagraph"/>
        <w:numPr>
          <w:ilvl w:val="0"/>
          <w:numId w:val="2"/>
        </w:numPr>
        <w:spacing w:after="80"/>
      </w:pPr>
      <w:r>
        <w:rPr>
          <w:rFonts w:ascii="Arial" w:cs="Arial" w:eastAsia="Arial" w:hAnsi="Arial"/>
          <w:color w:val="333333"/>
          <w:sz w:val="22"/>
          <w:szCs w:val="22"/>
        </w:rPr>
        <w:t xml:space="preserve">Verify the ‘Five Rights’: right patient, right medicine, right dose, right route, right time</w:t>
      </w:r>
    </w:p>
    <w:p>
      <w:pPr>
        <w:pStyle w:val="ListParagraph"/>
        <w:numPr>
          <w:ilvl w:val="0"/>
          <w:numId w:val="2"/>
        </w:numPr>
        <w:spacing w:after="80"/>
      </w:pPr>
      <w:r>
        <w:rPr>
          <w:rFonts w:ascii="Arial" w:cs="Arial" w:eastAsia="Arial" w:hAnsi="Arial"/>
          <w:color w:val="333333"/>
          <w:sz w:val="22"/>
          <w:szCs w:val="22"/>
        </w:rPr>
        <w:t xml:space="preserve">Check for allergies, contraindications, and expiry dates before administration</w:t>
      </w:r>
    </w:p>
    <w:p>
      <w:pPr>
        <w:pStyle w:val="ListParagraph"/>
        <w:numPr>
          <w:ilvl w:val="0"/>
          <w:numId w:val="2"/>
        </w:numPr>
        <w:spacing w:after="80"/>
      </w:pPr>
      <w:r>
        <w:rPr>
          <w:rFonts w:ascii="Arial" w:cs="Arial" w:eastAsia="Arial" w:hAnsi="Arial"/>
          <w:color w:val="333333"/>
          <w:sz w:val="22"/>
          <w:szCs w:val="22"/>
        </w:rPr>
        <w:t xml:space="preserve">Record administration immediately in the patient’s clinical record</w:t>
      </w:r>
    </w:p>
    <w:p>
      <w:pPr>
        <w:pStyle w:val="ListParagraph"/>
        <w:numPr>
          <w:ilvl w:val="0"/>
          <w:numId w:val="2"/>
        </w:numPr>
        <w:spacing w:after="80"/>
      </w:pPr>
      <w:r>
        <w:rPr>
          <w:rFonts w:ascii="Arial" w:cs="Arial" w:eastAsia="Arial" w:hAnsi="Arial"/>
          <w:color w:val="333333"/>
          <w:sz w:val="22"/>
          <w:szCs w:val="22"/>
        </w:rPr>
        <w:t xml:space="preserve">Report all medication errors and near-misses via the incident reporting system</w:t>
      </w:r>
    </w:p>
    <w:p>
      <w:pPr>
        <w:spacing w:after="0" w:before="80"/>
      </w:pPr>
    </w:p>
    <w:p>
      <w:pPr>
        <w:pStyle w:val="Heading1"/>
      </w:pPr>
      <w:r>
        <w:rPr>
          <w:rFonts w:ascii="Arial" w:cs="Arial" w:eastAsia="Arial" w:hAnsi="Arial"/>
          <w:b/>
          <w:bCs/>
          <w:color w:val="0B1D3A"/>
          <w:sz w:val="28"/>
          <w:szCs w:val="28"/>
        </w:rPr>
        <w:t xml:space="preserve">4. Procurement and Receipt</w:t>
      </w:r>
    </w:p>
    <w:p>
      <w:pPr>
        <w:spacing w:after="120"/>
        <w:jc w:val="both"/>
      </w:pPr>
      <w:r>
        <w:rPr>
          <w:rFonts w:ascii="Arial" w:cs="Arial" w:eastAsia="Arial" w:hAnsi="Arial"/>
          <w:color w:val="333333"/>
          <w:sz w:val="22"/>
          <w:szCs w:val="22"/>
        </w:rPr>
        <w:t xml:space="preserve">Medicines shall be procured only from licensed suppliers in compliance with the Human Medicines Regulations 2012. Upon receipt, all medicines shall be checked against the order for accuracy, quantity, expiry date, and integrity of packaging. The receiving staff member shall sign and date the delivery record.</w:t>
      </w:r>
    </w:p>
    <w:p>
      <w:pPr>
        <w:pStyle w:val="Heading1"/>
      </w:pPr>
      <w:r>
        <w:rPr>
          <w:rFonts w:ascii="Arial" w:cs="Arial" w:eastAsia="Arial" w:hAnsi="Arial"/>
          <w:b/>
          <w:bCs/>
          <w:color w:val="0B1D3A"/>
          <w:sz w:val="28"/>
          <w:szCs w:val="28"/>
        </w:rPr>
        <w:t xml:space="preserve">5. Storage of Medicines</w:t>
      </w:r>
    </w:p>
    <w:p>
      <w:pPr>
        <w:pStyle w:val="Heading2"/>
      </w:pPr>
      <w:r>
        <w:rPr>
          <w:rFonts w:ascii="Arial" w:cs="Arial" w:eastAsia="Arial" w:hAnsi="Arial"/>
          <w:b/>
          <w:bCs/>
          <w:color w:val="0B1D3A"/>
          <w:sz w:val="24"/>
          <w:szCs w:val="24"/>
        </w:rPr>
        <w:t xml:space="preserve">5.1 General Storage</w:t>
      </w:r>
    </w:p>
    <w:p>
      <w:pPr>
        <w:spacing w:after="120"/>
        <w:jc w:val="both"/>
      </w:pPr>
      <w:r>
        <w:rPr>
          <w:rFonts w:ascii="Arial" w:cs="Arial" w:eastAsia="Arial" w:hAnsi="Arial"/>
          <w:color w:val="333333"/>
          <w:sz w:val="22"/>
          <w:szCs w:val="22"/>
        </w:rPr>
        <w:t xml:space="preserve">All medicines shall be stored securely in locked cupboards or cabinets within designated rooms. Access shall be restricted to authorised personnel. Storage areas shall be clean, dry, and maintained within the temperature range specified by the manufacturer. Ambient temperature logs shall be recorded daily.</w:t>
      </w:r>
    </w:p>
    <w:p>
      <w:pPr>
        <w:pStyle w:val="Heading2"/>
      </w:pPr>
      <w:r>
        <w:rPr>
          <w:rFonts w:ascii="Arial" w:cs="Arial" w:eastAsia="Arial" w:hAnsi="Arial"/>
          <w:b/>
          <w:bCs/>
          <w:color w:val="0B1D3A"/>
          <w:sz w:val="24"/>
          <w:szCs w:val="24"/>
        </w:rPr>
        <w:t xml:space="preserve">5.2 Cold Chain Medicines</w:t>
      </w:r>
    </w:p>
    <w:p>
      <w:pPr>
        <w:spacing w:after="120"/>
        <w:jc w:val="both"/>
      </w:pPr>
      <w:r>
        <w:rPr>
          <w:rFonts w:ascii="Arial" w:cs="Arial" w:eastAsia="Arial" w:hAnsi="Arial"/>
          <w:color w:val="333333"/>
          <w:sz w:val="22"/>
          <w:szCs w:val="22"/>
        </w:rPr>
        <w:t xml:space="preserve">Medicines requiring refrigeration shall be stored in a dedicated pharmaceutical-grade refrigerator at 2–8°C. Temperature shall be monitored continuously using a calibrated thermometer or digital monitoring system. Min/max temperature readings shall be recorded daily. Cold chain breaches shall be investigated and affected stock quarantined pending manufacturer guidance.</w:t>
      </w:r>
    </w:p>
    <w:p>
      <w:pPr>
        <w:pStyle w:val="Heading2"/>
      </w:pPr>
      <w:r>
        <w:rPr>
          <w:rFonts w:ascii="Arial" w:cs="Arial" w:eastAsia="Arial" w:hAnsi="Arial"/>
          <w:b/>
          <w:bCs/>
          <w:color w:val="0B1D3A"/>
          <w:sz w:val="24"/>
          <w:szCs w:val="24"/>
        </w:rPr>
        <w:t xml:space="preserve">5.3 Controlled Drugs (CDs)</w:t>
      </w:r>
    </w:p>
    <w:p>
      <w:pPr>
        <w:spacing w:after="120"/>
        <w:jc w:val="both"/>
      </w:pPr>
      <w:r>
        <w:rPr>
          <w:rFonts w:ascii="Arial" w:cs="Arial" w:eastAsia="Arial" w:hAnsi="Arial"/>
          <w:color w:val="333333"/>
          <w:sz w:val="22"/>
          <w:szCs w:val="22"/>
        </w:rPr>
        <w:t xml:space="preserve">Controlled Drugs shall be stored in a fixed, double-locked controlled drugs cupboard compliant with the Misuse of Drugs (Safe Custody) Regulations 1973. A controlled drugs register shall be maintained in accordance with the Misuse of Drugs Regulations 2001. Entries shall be made in ink, signed by two authorised persons, and balances verified weekly.</w:t>
      </w:r>
    </w:p>
    <w:p>
      <w:pPr>
        <w:pStyle w:val="Heading1"/>
      </w:pPr>
      <w:r>
        <w:rPr>
          <w:rFonts w:ascii="Arial" w:cs="Arial" w:eastAsia="Arial" w:hAnsi="Arial"/>
          <w:b/>
          <w:bCs/>
          <w:color w:val="0B1D3A"/>
          <w:sz w:val="28"/>
          <w:szCs w:val="28"/>
        </w:rPr>
        <w:t xml:space="preserve">6. Prescribing Standards</w:t>
      </w:r>
    </w:p>
    <w:p>
      <w:pPr>
        <w:spacing w:after="120"/>
        <w:jc w:val="both"/>
      </w:pPr>
      <w:r>
        <w:rPr>
          <w:rFonts w:ascii="Arial" w:cs="Arial" w:eastAsia="Arial" w:hAnsi="Arial"/>
          <w:color w:val="333333"/>
          <w:sz w:val="22"/>
          <w:szCs w:val="22"/>
        </w:rPr>
        <w:t xml:space="preserve">All prescriptions shall comply with the requirements of the Human Medicines Regulations 2012 and shall include: the patient’s full name, date of birth, and address; the medicine name (using the approved/generic name where possible); the form, strength, dose, frequency, route, and quantity; and the prescriber’s signature, printed name, prescriber number, and date. Verbal or telephone orders shall be used only in exceptional clinical circumstances and must be confirmed in writing within 24 hours.</w:t>
      </w:r>
    </w:p>
    <w:p>
      <w:pPr>
        <w:pStyle w:val="Heading1"/>
      </w:pPr>
      <w:r>
        <w:rPr>
          <w:rFonts w:ascii="Arial" w:cs="Arial" w:eastAsia="Arial" w:hAnsi="Arial"/>
          <w:b/>
          <w:bCs/>
          <w:color w:val="0B1D3A"/>
          <w:sz w:val="28"/>
          <w:szCs w:val="28"/>
        </w:rPr>
        <w:t xml:space="preserve">7. Patient Group Directions (PGDs) and Patient Specific Directions (PSDs)</w:t>
      </w:r>
    </w:p>
    <w:p>
      <w:pPr>
        <w:spacing w:after="120"/>
        <w:jc w:val="both"/>
      </w:pPr>
      <w:r>
        <w:rPr>
          <w:rFonts w:ascii="Arial" w:cs="Arial" w:eastAsia="Arial" w:hAnsi="Arial"/>
          <w:color w:val="333333"/>
          <w:sz w:val="22"/>
          <w:szCs w:val="22"/>
        </w:rPr>
        <w:t xml:space="preserve">Where medicines are supplied or administered under a Patient Group Direction, the PGD shall comply with the Human Medicines Regulations 2012 (Part 12, Chapter 3). Each PGD shall be authorised by a senior doctor and a pharmacist, list the healthcare professionals authorised to operate under it, and be reviewed every two years or sooner. Patient Specific Directions shall be written and signed by an authorised prescriber for a named patient.</w:t>
      </w:r>
    </w:p>
    <w:p>
      <w:pPr>
        <w:pStyle w:val="Heading1"/>
      </w:pPr>
      <w:r>
        <w:rPr>
          <w:rFonts w:ascii="Arial" w:cs="Arial" w:eastAsia="Arial" w:hAnsi="Arial"/>
          <w:b/>
          <w:bCs/>
          <w:color w:val="0B1D3A"/>
          <w:sz w:val="28"/>
          <w:szCs w:val="28"/>
        </w:rPr>
        <w:t xml:space="preserve">8. Disposal of Medicines</w:t>
      </w:r>
    </w:p>
    <w:p>
      <w:pPr>
        <w:spacing w:after="120"/>
        <w:jc w:val="both"/>
      </w:pPr>
      <w:r>
        <w:rPr>
          <w:rFonts w:ascii="Arial" w:cs="Arial" w:eastAsia="Arial" w:hAnsi="Arial"/>
          <w:color w:val="333333"/>
          <w:sz w:val="22"/>
          <w:szCs w:val="22"/>
        </w:rPr>
        <w:t xml:space="preserve">Expired, unwanted, or returned medicines shall be disposed of via an authorised pharmaceutical waste contractor in compliance with the Hazardous Waste (England and Wales) Regulations 2005 and the Environmental Protection Act 1990. Controlled drugs shall be denatured and disposed of in the presence of an authorised witness. A record of all medicines disposed of shall be retained.</w:t>
      </w:r>
    </w:p>
    <w:p>
      <w:pPr>
        <w:pStyle w:val="Heading1"/>
      </w:pPr>
      <w:r>
        <w:rPr>
          <w:rFonts w:ascii="Arial" w:cs="Arial" w:eastAsia="Arial" w:hAnsi="Arial"/>
          <w:b/>
          <w:bCs/>
          <w:color w:val="0B1D3A"/>
          <w:sz w:val="28"/>
          <w:szCs w:val="28"/>
        </w:rPr>
        <w:t xml:space="preserve">9. Medication Incidents and Errors</w:t>
      </w:r>
    </w:p>
    <w:p>
      <w:pPr>
        <w:spacing w:after="120"/>
        <w:jc w:val="both"/>
      </w:pPr>
      <w:r>
        <w:rPr>
          <w:rFonts w:ascii="Arial" w:cs="Arial" w:eastAsia="Arial" w:hAnsi="Arial"/>
          <w:color w:val="333333"/>
          <w:sz w:val="22"/>
          <w:szCs w:val="22"/>
        </w:rPr>
        <w:t xml:space="preserve">All medication errors, near-misses, and adverse drug reactions shall be reported via the clinic’s incident reporting system. Serious incidents shall be reported to CQC via statutory notification and, where applicable, to the Medicines and Healthcare products Regulatory Agency (MHRA) via the Yellow Card Scheme. Root cause analysis shall be conducted for all significant incidents.</w:t>
      </w:r>
    </w:p>
    <w:p>
      <w:pPr>
        <w:pStyle w:val="Heading1"/>
      </w:pPr>
      <w:r>
        <w:rPr>
          <w:rFonts w:ascii="Arial" w:cs="Arial" w:eastAsia="Arial" w:hAnsi="Arial"/>
          <w:b/>
          <w:bCs/>
          <w:color w:val="0B1D3A"/>
          <w:sz w:val="28"/>
          <w:szCs w:val="28"/>
        </w:rPr>
        <w:t xml:space="preserve">10. Audit and Monitoring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13"/>
        <w:gridCol w:w="2513"/>
        <w:gridCol w:w="3000"/>
      </w:tblGrid>
      <w:tr>
        <w:tc>
          <w:tcPr>
            <w:tcW w:type="dxa" w:w="351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Audit Area</w:t>
            </w:r>
          </w:p>
        </w:tc>
        <w:tc>
          <w:tcPr>
            <w:tcW w:type="dxa" w:w="251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Frequency</w:t>
            </w:r>
          </w:p>
        </w:tc>
        <w:tc>
          <w:tcPr>
            <w:tcW w:type="dxa" w:w="30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Responsible Person</w:t>
            </w:r>
          </w:p>
        </w:tc>
      </w:tr>
      <w:tr>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Controlled Drugs Register Reconciliation</w:t>
            </w:r>
          </w:p>
        </w:tc>
        <w:tc>
          <w:tcPr>
            <w:tcW w:type="dxa" w:w="2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Weekly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Medicines Management Lead</w:t>
            </w:r>
          </w:p>
        </w:tc>
      </w:tr>
      <w:tr>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Fridge Temperature Monitoring</w:t>
            </w:r>
          </w:p>
        </w:tc>
        <w:tc>
          <w:tcPr>
            <w:tcW w:type="dxa" w:w="2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Daily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Designated Clinical Staff</w:t>
            </w:r>
          </w:p>
        </w:tc>
      </w:tr>
      <w:tr>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Stock Expiry Date Check</w:t>
            </w:r>
          </w:p>
        </w:tc>
        <w:tc>
          <w:tcPr>
            <w:tcW w:type="dxa" w:w="2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Monthly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Medicines Management Lead</w:t>
            </w:r>
          </w:p>
        </w:tc>
      </w:tr>
      <w:tr>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Prescribing Practice Audit</w:t>
            </w:r>
          </w:p>
        </w:tc>
        <w:tc>
          <w:tcPr>
            <w:tcW w:type="dxa" w:w="2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Quarterly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Clinical Lead</w:t>
            </w:r>
          </w:p>
        </w:tc>
      </w:tr>
      <w:tr>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PGD Compliance Review</w:t>
            </w:r>
          </w:p>
        </w:tc>
        <w:tc>
          <w:tcPr>
            <w:tcW w:type="dxa" w:w="2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Annually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Clinical Lead / Pharmacist</w:t>
            </w:r>
          </w:p>
        </w:tc>
      </w:tr>
      <w:tr>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Full Medicines Management Audit</w:t>
            </w:r>
          </w:p>
        </w:tc>
        <w:tc>
          <w:tcPr>
            <w:tcW w:type="dxa" w:w="2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Annually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Registered Manager</w:t>
            </w:r>
          </w:p>
        </w:tc>
      </w:tr>
    </w:tbl>
    <w:p>
      <w:pPr>
        <w:spacing w:after="0" w:before="120"/>
      </w:pPr>
    </w:p>
    <w:p>
      <w:r>
        <w:br w:type="page"/>
      </w:r>
    </w:p>
    <w:p>
      <w:pPr>
        <w:pStyle w:val="Heading1"/>
      </w:pPr>
      <w:r>
        <w:rPr>
          <w:rFonts w:ascii="Arial" w:cs="Arial" w:eastAsia="Arial" w:hAnsi="Arial"/>
          <w:b/>
          <w:bCs/>
          <w:color w:val="0B1D3A"/>
          <w:sz w:val="28"/>
          <w:szCs w:val="28"/>
        </w:rPr>
        <w:t xml:space="preserve">Applicable Legislation and Regulatory Framework</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Legislation / Regulation</w:t>
            </w:r>
          </w:p>
        </w:tc>
        <w:tc>
          <w:tcPr>
            <w:tcW w:type="dxa" w:w="451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Relevance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Health and Social Care Act 2008 (Regulated Activities) Regulations 2014, Regulation 12</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Safe care and treatment, including proper and safe management of medicines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Medicines Act 1968</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Regulation of manufacture, supply, and administration of medicines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Misuse of Drugs Act 1971</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Classification and control of dangerous drugs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Misuse of Drugs Regulations 2001</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Requirements for handling, record-keeping, and destruction of CDs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Misuse of Drugs (Safe Custody) Regulations 1973</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Physical storage requirements for controlled drugs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Human Medicines Regulations 2012</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Prescribing, supply, PGDs, and pharmacovigilance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Hazardous Waste (England and Wales) Regulations 2005</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Disposal of pharmaceutical waste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NICE Guideline NG5 – Medicines Optimisation</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Person-centred prescribing and medicines review</w:t>
            </w:r>
          </w:p>
        </w:tc>
      </w:tr>
    </w:tbl>
    <w:p>
      <w:pPr>
        <w:spacing w:after="0" w:before="200"/>
      </w:pPr>
    </w:p>
    <w:p>
      <w:pPr>
        <w:pStyle w:val="Heading1"/>
      </w:pPr>
      <w:r>
        <w:rPr>
          <w:rFonts w:ascii="Arial" w:cs="Arial" w:eastAsia="Arial" w:hAnsi="Arial"/>
          <w:b/>
          <w:bCs/>
          <w:color w:val="0B1D3A"/>
          <w:sz w:val="28"/>
          <w:szCs w:val="28"/>
        </w:rPr>
        <w:t xml:space="preserve">Document Approval and Sign-Off</w:t>
      </w:r>
    </w:p>
    <w:p>
      <w:pPr>
        <w:spacing w:after="120"/>
        <w:jc w:val="both"/>
      </w:pPr>
      <w:r>
        <w:rPr>
          <w:rFonts w:ascii="Arial" w:cs="Arial" w:eastAsia="Arial" w:hAnsi="Arial"/>
          <w:color w:val="333333"/>
          <w:sz w:val="22"/>
          <w:szCs w:val="22"/>
        </w:rPr>
        <w:t xml:space="preserve">This policy has been reviewed and approved by the following authorised personnel. By signing below, each confirms they have read, understood, and agree to uphold the requirements set out in this document.</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Role</w:t>
            </w:r>
          </w:p>
        </w:tc>
        <w:tc>
          <w:tcPr>
            <w:tcW w:type="dxa" w:w="2256"/>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Name</w:t>
            </w:r>
          </w:p>
        </w:tc>
        <w:tc>
          <w:tcPr>
            <w:tcW w:type="dxa" w:w="2257"/>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Signature</w:t>
            </w:r>
          </w:p>
        </w:tc>
        <w:tc>
          <w:tcPr>
            <w:tcW w:type="dxa" w:w="2257"/>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Date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Registered Manager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Clinical Lead / Medical Director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Compliance Officer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CQC Nominated Individual</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bl>
    <w:p>
      <w:pPr>
        <w:spacing w:after="0" w:before="200"/>
      </w:pPr>
    </w:p>
    <w:p>
      <w:pPr>
        <w:pStyle w:val="Heading1"/>
      </w:pPr>
      <w:r>
        <w:rPr>
          <w:rFonts w:ascii="Arial" w:cs="Arial" w:eastAsia="Arial" w:hAnsi="Arial"/>
          <w:b/>
          <w:bCs/>
          <w:color w:val="0B1D3A"/>
          <w:sz w:val="28"/>
          <w:szCs w:val="28"/>
        </w:rPr>
        <w:t xml:space="preserve">Version History</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026"/>
        <w:gridCol w:w="1600"/>
        <w:gridCol w:w="1600"/>
      </w:tblGrid>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Version</w:t>
            </w:r>
          </w:p>
        </w:tc>
        <w:tc>
          <w:tcPr>
            <w:tcW w:type="dxa" w:w="1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Date</w:t>
            </w:r>
          </w:p>
        </w:tc>
        <w:tc>
          <w:tcPr>
            <w:tcW w:type="dxa" w:w="3026"/>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Changes Made</w:t>
            </w:r>
          </w:p>
        </w:tc>
        <w:tc>
          <w:tcPr>
            <w:tcW w:type="dxa" w:w="1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Author</w:t>
            </w:r>
          </w:p>
        </w:tc>
        <w:tc>
          <w:tcPr>
            <w:tcW w:type="dxa" w:w="1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Initial issue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r>
    </w:tbl>
    <w:p>
      <w:pPr>
        <w:spacing w:after="0" w:before="200"/>
      </w:pPr>
    </w:p>
    <w:p>
      <w:pPr>
        <w:pBdr>
          <w:bottom w:val="single" w:color="0B1D3A" w:sz="6" w:space="1"/>
        </w:pBdr>
        <w:spacing w:after="100" w:before="100"/>
      </w:pPr>
    </w:p>
    <w:p>
      <w:pPr>
        <w:spacing w:after="0" w:before="80"/>
      </w:pPr>
      <w:r>
        <w:rPr>
          <w:rFonts w:ascii="Arial" w:cs="Arial" w:eastAsia="Arial" w:hAnsi="Arial"/>
          <w:i/>
          <w:iCs/>
          <w:color w:val="999999"/>
          <w:sz w:val="16"/>
          <w:szCs w:val="16"/>
        </w:rPr>
        <w:t xml:space="preserve">Disclaimer: This template is provided by Barker Scott Ltd as a general compliance resource for CQC-regulated private health clinics. It must be customised to reflect the specific operations, services, and circumstances of [Insert Organisation Name]. Barker Scott Ltd accepts no liability for regulatory outcomes arising from use of this template. Independent legal and clinical advice should be sought as appropriate.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4"/>
      </w:pBdr>
      <w:tabs>
        <w:tab w:val="right" w:pos="9026"/>
      </w:tabs>
      <w:spacing w:before="0"/>
    </w:pPr>
    <w:r>
      <w:rPr>
        <w:rFonts w:ascii="Arial" w:cs="Arial" w:eastAsia="Arial" w:hAnsi="Arial"/>
        <w:color w:val="999999"/>
        <w:sz w:val="16"/>
        <w:szCs w:val="16"/>
      </w:rPr>
      <w:t xml:space="preserve">Ref: BS-PHC-MM-003 | Version 1.0</w:t>
    </w:r>
    <w:r>
      <w:rPr>
        <w:rFonts w:ascii="Arial" w:cs="Arial" w:eastAsia="Arial" w:hAnsi="Arial"/>
        <w:color w:val="D4AF37"/>
        <w:sz w:val="16"/>
        <w:szCs w:val="16"/>
      </w:rPr>
      <w:t xml:space="preserve">	barker-scott.co.uk</w:t>
    </w:r>
  </w:p>
  <w:p>
    <w:pPr>
      <w:spacing w:after="0" w:before="40"/>
    </w:pPr>
    <w:r>
      <w:rPr>
        <w:rFonts w:ascii="Arial" w:cs="Arial" w:eastAsia="Arial" w:hAnsi="Arial"/>
        <w:i/>
        <w:iCs/>
        <w:color w:val="999999"/>
        <w:sz w:val="14"/>
        <w:szCs w:val="14"/>
      </w:rPr>
      <w:t xml:space="preserve">© Barker Scott Ltd. All rights reserved. Unauthorised reproduction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4" w:space="4"/>
      </w:pBdr>
      <w:tabs>
        <w:tab w:val="right" w:pos="9026"/>
      </w:tabs>
      <w:spacing w:after="0"/>
    </w:pPr>
    <w:r>
      <w:rPr>
        <w:rFonts w:ascii="Arial" w:cs="Arial" w:eastAsia="Arial" w:hAnsi="Arial"/>
        <w:b/>
        <w:bCs/>
        <w:color w:val="0B1D3A"/>
        <w:sz w:val="18"/>
        <w:szCs w:val="18"/>
      </w:rPr>
      <w:t xml:space="preserve">BARKER SCOTT</w:t>
    </w:r>
    <w:r>
      <w:rPr>
        <w:rFonts w:ascii="Arial" w:cs="Arial" w:eastAsia="Arial" w:hAnsi="Arial"/>
        <w:color w:val="999999"/>
        <w:sz w:val="16"/>
        <w:szCs w:val="16"/>
      </w:rPr>
      <w:t xml:space="preserve">	Medicines Management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0B1D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2026-05-15T09:14:27.721Z</dcterms:created>
  <dcterms:modified xsi:type="dcterms:W3CDTF">2026-05-15T09:14:27.721Z</dcterms:modified>
</cp:coreProperties>
</file>

<file path=docProps/custom.xml><?xml version="1.0" encoding="utf-8"?>
<Properties xmlns="http://schemas.openxmlformats.org/officeDocument/2006/custom-properties" xmlns:vt="http://schemas.openxmlformats.org/officeDocument/2006/docPropsVTypes"/>
</file>