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Safeguarding Adults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BS-PHC-SA-002</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Safeguarding Adults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BS-PHC-SA-002</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establishes the framework by which [Insert Organisation Name] fulfils its statutory duties to safeguard adults at risk from abuse and neglect. It ensures compliance with the Care Act 2014 (Sections 42–46), the Health and Social Care Act 2008 (Regulated Activities) Regulations 2014 (Regulation 13 – Safeguarding Service Users from Abuse and Improper Treatment), and the local Safeguarding Adults Board (SAB) multi-agency procedures.</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all staff, agency workers, volunteers, students, and contractors engaged by [Insert Organisation Name]. It covers all interactions with patients and visitors, whether on clinic premises or via remote consultations.</w:t>
      </w:r>
    </w:p>
    <w:p>
      <w:pPr>
        <w:pStyle w:val="Heading1"/>
      </w:pPr>
      <w:r>
        <w:rPr>
          <w:rFonts w:ascii="Arial" w:cs="Arial" w:eastAsia="Arial" w:hAnsi="Arial"/>
          <w:b/>
          <w:bCs/>
          <w:color w:val="0B1D3A"/>
          <w:sz w:val="28"/>
          <w:szCs w:val="28"/>
        </w:rPr>
        <w:t xml:space="preserve">3. Definition of an Adult at Risk</w:t>
      </w:r>
    </w:p>
    <w:p>
      <w:pPr>
        <w:spacing w:after="120"/>
        <w:jc w:val="both"/>
      </w:pPr>
      <w:r>
        <w:rPr>
          <w:rFonts w:ascii="Arial" w:cs="Arial" w:eastAsia="Arial" w:hAnsi="Arial"/>
          <w:color w:val="333333"/>
          <w:sz w:val="22"/>
          <w:szCs w:val="22"/>
        </w:rPr>
        <w:t xml:space="preserve">Under Section 42 of the Care Act 2014, an adult at risk is a person aged 18 or over who has needs for care and support (whether or not those needs are being met), is experiencing, or is at risk of, abuse or neglect, and as a result of those care and support needs is unable to protect themselves from the risk or experience of abuse or neglect.</w:t>
      </w:r>
    </w:p>
    <w:p>
      <w:pPr>
        <w:pStyle w:val="Heading1"/>
      </w:pPr>
      <w:r>
        <w:rPr>
          <w:rFonts w:ascii="Arial" w:cs="Arial" w:eastAsia="Arial" w:hAnsi="Arial"/>
          <w:b/>
          <w:bCs/>
          <w:color w:val="0B1D3A"/>
          <w:sz w:val="28"/>
          <w:szCs w:val="28"/>
        </w:rPr>
        <w:t xml:space="preserve">4. Categories of Abuse</w:t>
      </w:r>
    </w:p>
    <w:p>
      <w:pPr>
        <w:spacing w:after="120"/>
        <w:jc w:val="both"/>
      </w:pPr>
      <w:r>
        <w:rPr>
          <w:rFonts w:ascii="Arial" w:cs="Arial" w:eastAsia="Arial" w:hAnsi="Arial"/>
          <w:color w:val="333333"/>
          <w:sz w:val="22"/>
          <w:szCs w:val="22"/>
        </w:rPr>
        <w:t xml:space="preserve">Staff must be aware of and able to recognise the following categories of abuse as defined in the Care and Support Statutory Guidance (Chapter 14):</w:t>
      </w:r>
    </w:p>
    <w:p>
      <w:pPr>
        <w:pStyle w:val="ListParagraph"/>
        <w:numPr>
          <w:ilvl w:val="0"/>
          <w:numId w:val="2"/>
        </w:numPr>
        <w:spacing w:after="80"/>
      </w:pPr>
      <w:r>
        <w:rPr>
          <w:rFonts w:ascii="Arial" w:cs="Arial" w:eastAsia="Arial" w:hAnsi="Arial"/>
          <w:color w:val="333333"/>
          <w:sz w:val="22"/>
          <w:szCs w:val="22"/>
        </w:rPr>
        <w:t xml:space="preserve">Physical abuse – including hitting, slapping, restraint, and inappropriate administration of medication</w:t>
      </w:r>
    </w:p>
    <w:p>
      <w:pPr>
        <w:pStyle w:val="ListParagraph"/>
        <w:numPr>
          <w:ilvl w:val="0"/>
          <w:numId w:val="2"/>
        </w:numPr>
        <w:spacing w:after="80"/>
      </w:pPr>
      <w:r>
        <w:rPr>
          <w:rFonts w:ascii="Arial" w:cs="Arial" w:eastAsia="Arial" w:hAnsi="Arial"/>
          <w:color w:val="333333"/>
          <w:sz w:val="22"/>
          <w:szCs w:val="22"/>
        </w:rPr>
        <w:t xml:space="preserve">Domestic abuse – including coercive and controlling behaviour within the meaning of Section 76 of the Serious Crime Act 2015</w:t>
      </w:r>
    </w:p>
    <w:p>
      <w:pPr>
        <w:pStyle w:val="ListParagraph"/>
        <w:numPr>
          <w:ilvl w:val="0"/>
          <w:numId w:val="2"/>
        </w:numPr>
        <w:spacing w:after="80"/>
      </w:pPr>
      <w:r>
        <w:rPr>
          <w:rFonts w:ascii="Arial" w:cs="Arial" w:eastAsia="Arial" w:hAnsi="Arial"/>
          <w:color w:val="333333"/>
          <w:sz w:val="22"/>
          <w:szCs w:val="22"/>
        </w:rPr>
        <w:t xml:space="preserve">Sexual abuse – including non-consensual sexual contact and exploitation</w:t>
      </w:r>
    </w:p>
    <w:p>
      <w:pPr>
        <w:pStyle w:val="ListParagraph"/>
        <w:numPr>
          <w:ilvl w:val="0"/>
          <w:numId w:val="2"/>
        </w:numPr>
        <w:spacing w:after="80"/>
      </w:pPr>
      <w:r>
        <w:rPr>
          <w:rFonts w:ascii="Arial" w:cs="Arial" w:eastAsia="Arial" w:hAnsi="Arial"/>
          <w:color w:val="333333"/>
          <w:sz w:val="22"/>
          <w:szCs w:val="22"/>
        </w:rPr>
        <w:t xml:space="preserve">Psychological or emotional abuse – including threats, humiliation, intimidation, and coercion</w:t>
      </w:r>
    </w:p>
    <w:p>
      <w:pPr>
        <w:pStyle w:val="ListParagraph"/>
        <w:numPr>
          <w:ilvl w:val="0"/>
          <w:numId w:val="2"/>
        </w:numPr>
        <w:spacing w:after="80"/>
      </w:pPr>
      <w:r>
        <w:rPr>
          <w:rFonts w:ascii="Arial" w:cs="Arial" w:eastAsia="Arial" w:hAnsi="Arial"/>
          <w:color w:val="333333"/>
          <w:sz w:val="22"/>
          <w:szCs w:val="22"/>
        </w:rPr>
        <w:t xml:space="preserve">Financial or material abuse – including theft, fraud, undue pressure in connection with wills or property</w:t>
      </w:r>
    </w:p>
    <w:p>
      <w:pPr>
        <w:pStyle w:val="ListParagraph"/>
        <w:numPr>
          <w:ilvl w:val="0"/>
          <w:numId w:val="2"/>
        </w:numPr>
        <w:spacing w:after="80"/>
      </w:pPr>
      <w:r>
        <w:rPr>
          <w:rFonts w:ascii="Arial" w:cs="Arial" w:eastAsia="Arial" w:hAnsi="Arial"/>
          <w:color w:val="333333"/>
          <w:sz w:val="22"/>
          <w:szCs w:val="22"/>
        </w:rPr>
        <w:t xml:space="preserve">Modern slavery – including human trafficking and forced labour under the Modern Slavery Act 2015</w:t>
      </w:r>
    </w:p>
    <w:p>
      <w:pPr>
        <w:pStyle w:val="ListParagraph"/>
        <w:numPr>
          <w:ilvl w:val="0"/>
          <w:numId w:val="2"/>
        </w:numPr>
        <w:spacing w:after="80"/>
      </w:pPr>
      <w:r>
        <w:rPr>
          <w:rFonts w:ascii="Arial" w:cs="Arial" w:eastAsia="Arial" w:hAnsi="Arial"/>
          <w:color w:val="333333"/>
          <w:sz w:val="22"/>
          <w:szCs w:val="22"/>
        </w:rPr>
        <w:t xml:space="preserve">Discriminatory abuse – motivated by protected characteristics under the Equality Act 2010</w:t>
      </w:r>
    </w:p>
    <w:p>
      <w:pPr>
        <w:pStyle w:val="ListParagraph"/>
        <w:numPr>
          <w:ilvl w:val="0"/>
          <w:numId w:val="2"/>
        </w:numPr>
        <w:spacing w:after="80"/>
      </w:pPr>
      <w:r>
        <w:rPr>
          <w:rFonts w:ascii="Arial" w:cs="Arial" w:eastAsia="Arial" w:hAnsi="Arial"/>
          <w:color w:val="333333"/>
          <w:sz w:val="22"/>
          <w:szCs w:val="22"/>
        </w:rPr>
        <w:t xml:space="preserve">Organisational or institutional abuse – arising from the culture, practices, or structure of a service</w:t>
      </w:r>
    </w:p>
    <w:p>
      <w:pPr>
        <w:pStyle w:val="ListParagraph"/>
        <w:numPr>
          <w:ilvl w:val="0"/>
          <w:numId w:val="2"/>
        </w:numPr>
        <w:spacing w:after="80"/>
      </w:pPr>
      <w:r>
        <w:rPr>
          <w:rFonts w:ascii="Arial" w:cs="Arial" w:eastAsia="Arial" w:hAnsi="Arial"/>
          <w:color w:val="333333"/>
          <w:sz w:val="22"/>
          <w:szCs w:val="22"/>
        </w:rPr>
        <w:t xml:space="preserve">Neglect and acts of omission – including failure to provide care, medication, or access to health services</w:t>
      </w:r>
    </w:p>
    <w:p>
      <w:pPr>
        <w:pStyle w:val="ListParagraph"/>
        <w:numPr>
          <w:ilvl w:val="0"/>
          <w:numId w:val="2"/>
        </w:numPr>
        <w:spacing w:after="80"/>
      </w:pPr>
      <w:r>
        <w:rPr>
          <w:rFonts w:ascii="Arial" w:cs="Arial" w:eastAsia="Arial" w:hAnsi="Arial"/>
          <w:color w:val="333333"/>
          <w:sz w:val="22"/>
          <w:szCs w:val="22"/>
        </w:rPr>
        <w:t xml:space="preserve">Self-neglect – including hoarding, failure to attend to personal care or health needs</w:t>
      </w:r>
    </w:p>
    <w:p>
      <w:pPr>
        <w:spacing w:after="0" w:before="80"/>
      </w:pPr>
    </w:p>
    <w:p>
      <w:pPr>
        <w:pStyle w:val="Heading1"/>
      </w:pPr>
      <w:r>
        <w:rPr>
          <w:rFonts w:ascii="Arial" w:cs="Arial" w:eastAsia="Arial" w:hAnsi="Arial"/>
          <w:b/>
          <w:bCs/>
          <w:color w:val="0B1D3A"/>
          <w:sz w:val="28"/>
          <w:szCs w:val="28"/>
        </w:rPr>
        <w:t xml:space="preserve">5. Roles and Responsibilities</w:t>
      </w:r>
    </w:p>
    <w:p>
      <w:pPr>
        <w:pStyle w:val="Heading2"/>
      </w:pPr>
      <w:r>
        <w:rPr>
          <w:rFonts w:ascii="Arial" w:cs="Arial" w:eastAsia="Arial" w:hAnsi="Arial"/>
          <w:b/>
          <w:bCs/>
          <w:color w:val="0B1D3A"/>
          <w:sz w:val="24"/>
          <w:szCs w:val="24"/>
        </w:rPr>
        <w:t xml:space="preserve">5.1 Designated Safeguarding Lead (DSL)</w:t>
      </w:r>
    </w:p>
    <w:p>
      <w:pPr>
        <w:spacing w:after="120"/>
        <w:jc w:val="both"/>
      </w:pPr>
      <w:r>
        <w:rPr>
          <w:rFonts w:ascii="Arial" w:cs="Arial" w:eastAsia="Arial" w:hAnsi="Arial"/>
          <w:color w:val="333333"/>
          <w:sz w:val="22"/>
          <w:szCs w:val="22"/>
        </w:rPr>
        <w:t xml:space="preserve">The Registered Manager or a nominated senior clinician shall be the DSL. The DSL shall be trained to Level 3 safeguarding (intercollegiate standards), act as the central point of contact for all safeguarding concerns, make referrals to the local authority under Section 42 of the Care Act 2014, and liaise with the SAB, police, and CQC as required.</w:t>
      </w:r>
    </w:p>
    <w:p>
      <w:pPr>
        <w:pStyle w:val="Heading2"/>
      </w:pPr>
      <w:r>
        <w:rPr>
          <w:rFonts w:ascii="Arial" w:cs="Arial" w:eastAsia="Arial" w:hAnsi="Arial"/>
          <w:b/>
          <w:bCs/>
          <w:color w:val="0B1D3A"/>
          <w:sz w:val="24"/>
          <w:szCs w:val="24"/>
        </w:rPr>
        <w:t xml:space="preserve">5.2 All Staff</w:t>
      </w:r>
    </w:p>
    <w:p>
      <w:pPr>
        <w:pStyle w:val="ListParagraph"/>
        <w:numPr>
          <w:ilvl w:val="0"/>
          <w:numId w:val="2"/>
        </w:numPr>
        <w:spacing w:after="80"/>
      </w:pPr>
      <w:r>
        <w:rPr>
          <w:rFonts w:ascii="Arial" w:cs="Arial" w:eastAsia="Arial" w:hAnsi="Arial"/>
          <w:color w:val="333333"/>
          <w:sz w:val="22"/>
          <w:szCs w:val="22"/>
        </w:rPr>
        <w:t xml:space="preserve">Complete safeguarding adults training at induction and at minimum annual refresher intervals</w:t>
      </w:r>
    </w:p>
    <w:p>
      <w:pPr>
        <w:pStyle w:val="ListParagraph"/>
        <w:numPr>
          <w:ilvl w:val="0"/>
          <w:numId w:val="2"/>
        </w:numPr>
        <w:spacing w:after="80"/>
      </w:pPr>
      <w:r>
        <w:rPr>
          <w:rFonts w:ascii="Arial" w:cs="Arial" w:eastAsia="Arial" w:hAnsi="Arial"/>
          <w:color w:val="333333"/>
          <w:sz w:val="22"/>
          <w:szCs w:val="22"/>
        </w:rPr>
        <w:t xml:space="preserve">Recognise and report concerns immediately to the DSL using the internal safeguarding reporting form</w:t>
      </w:r>
    </w:p>
    <w:p>
      <w:pPr>
        <w:pStyle w:val="ListParagraph"/>
        <w:numPr>
          <w:ilvl w:val="0"/>
          <w:numId w:val="2"/>
        </w:numPr>
        <w:spacing w:after="80"/>
      </w:pPr>
      <w:r>
        <w:rPr>
          <w:rFonts w:ascii="Arial" w:cs="Arial" w:eastAsia="Arial" w:hAnsi="Arial"/>
          <w:color w:val="333333"/>
          <w:sz w:val="22"/>
          <w:szCs w:val="22"/>
        </w:rPr>
        <w:t xml:space="preserve">Maintain accurate, contemporaneous records of all concerns and disclosures</w:t>
      </w:r>
    </w:p>
    <w:p>
      <w:pPr>
        <w:pStyle w:val="ListParagraph"/>
        <w:numPr>
          <w:ilvl w:val="0"/>
          <w:numId w:val="2"/>
        </w:numPr>
        <w:spacing w:after="80"/>
      </w:pPr>
      <w:r>
        <w:rPr>
          <w:rFonts w:ascii="Arial" w:cs="Arial" w:eastAsia="Arial" w:hAnsi="Arial"/>
          <w:color w:val="333333"/>
          <w:sz w:val="22"/>
          <w:szCs w:val="22"/>
        </w:rPr>
        <w:t xml:space="preserve">Apply the principles of Making Safeguarding Personal (MSP) by involving the adult in decisions about their safety</w:t>
      </w:r>
    </w:p>
    <w:p>
      <w:pPr>
        <w:pStyle w:val="ListParagraph"/>
        <w:numPr>
          <w:ilvl w:val="0"/>
          <w:numId w:val="2"/>
        </w:numPr>
        <w:spacing w:after="80"/>
      </w:pPr>
      <w:r>
        <w:rPr>
          <w:rFonts w:ascii="Arial" w:cs="Arial" w:eastAsia="Arial" w:hAnsi="Arial"/>
          <w:color w:val="333333"/>
          <w:sz w:val="22"/>
          <w:szCs w:val="22"/>
        </w:rPr>
        <w:t xml:space="preserve">Understand the duty to report under the CQC Notification Regulations (statutory notifications)</w:t>
      </w:r>
    </w:p>
    <w:p>
      <w:pPr>
        <w:spacing w:after="0" w:before="80"/>
      </w:pPr>
    </w:p>
    <w:p>
      <w:pPr>
        <w:pStyle w:val="Heading1"/>
      </w:pPr>
      <w:r>
        <w:rPr>
          <w:rFonts w:ascii="Arial" w:cs="Arial" w:eastAsia="Arial" w:hAnsi="Arial"/>
          <w:b/>
          <w:bCs/>
          <w:color w:val="0B1D3A"/>
          <w:sz w:val="28"/>
          <w:szCs w:val="28"/>
        </w:rPr>
        <w:t xml:space="preserve">6. Safeguarding Referral Procedure</w:t>
      </w:r>
    </w:p>
    <w:p>
      <w:pPr>
        <w:spacing w:after="120"/>
        <w:jc w:val="both"/>
      </w:pPr>
      <w:r>
        <w:rPr>
          <w:rFonts w:ascii="Arial" w:cs="Arial" w:eastAsia="Arial" w:hAnsi="Arial"/>
          <w:color w:val="333333"/>
          <w:sz w:val="22"/>
          <w:szCs w:val="22"/>
        </w:rPr>
        <w:t xml:space="preserve">Where a staff member identifies or suspects abuse or neglect, the following procedure shall be followed:</w:t>
      </w:r>
    </w:p>
    <w:p>
      <w:pPr>
        <w:pStyle w:val="ListParagraph"/>
        <w:numPr>
          <w:ilvl w:val="0"/>
          <w:numId w:val="2"/>
        </w:numPr>
        <w:spacing w:after="80"/>
      </w:pPr>
      <w:r>
        <w:rPr>
          <w:rFonts w:ascii="Arial" w:cs="Arial" w:eastAsia="Arial" w:hAnsi="Arial"/>
          <w:color w:val="333333"/>
          <w:sz w:val="22"/>
          <w:szCs w:val="22"/>
        </w:rPr>
        <w:t xml:space="preserve">Step 1: Ensure the immediate safety of the adult at risk. In an emergency, contact the police on 999.</w:t>
      </w:r>
    </w:p>
    <w:p>
      <w:pPr>
        <w:pStyle w:val="ListParagraph"/>
        <w:numPr>
          <w:ilvl w:val="0"/>
          <w:numId w:val="2"/>
        </w:numPr>
        <w:spacing w:after="80"/>
      </w:pPr>
      <w:r>
        <w:rPr>
          <w:rFonts w:ascii="Arial" w:cs="Arial" w:eastAsia="Arial" w:hAnsi="Arial"/>
          <w:color w:val="333333"/>
          <w:sz w:val="22"/>
          <w:szCs w:val="22"/>
        </w:rPr>
        <w:t xml:space="preserve">Step 2: Document the concern using the clinic’s safeguarding concern form, recording factual observations, any disclosures (using the adult’s own words), and any injuries noted.</w:t>
      </w:r>
    </w:p>
    <w:p>
      <w:pPr>
        <w:pStyle w:val="ListParagraph"/>
        <w:numPr>
          <w:ilvl w:val="0"/>
          <w:numId w:val="2"/>
        </w:numPr>
        <w:spacing w:after="80"/>
      </w:pPr>
      <w:r>
        <w:rPr>
          <w:rFonts w:ascii="Arial" w:cs="Arial" w:eastAsia="Arial" w:hAnsi="Arial"/>
          <w:color w:val="333333"/>
          <w:sz w:val="22"/>
          <w:szCs w:val="22"/>
        </w:rPr>
        <w:t xml:space="preserve">Step 3: Report to the DSL without delay. The DSL will assess the concern using the SAB’s threshold criteria.</w:t>
      </w:r>
    </w:p>
    <w:p>
      <w:pPr>
        <w:pStyle w:val="ListParagraph"/>
        <w:numPr>
          <w:ilvl w:val="0"/>
          <w:numId w:val="2"/>
        </w:numPr>
        <w:spacing w:after="80"/>
      </w:pPr>
      <w:r>
        <w:rPr>
          <w:rFonts w:ascii="Arial" w:cs="Arial" w:eastAsia="Arial" w:hAnsi="Arial"/>
          <w:color w:val="333333"/>
          <w:sz w:val="22"/>
          <w:szCs w:val="22"/>
        </w:rPr>
        <w:t xml:space="preserve">Step 4: If the threshold for a Section 42 enquiry is met, the DSL will make a referral to the local authority safeguarding team within 24 hours.</w:t>
      </w:r>
    </w:p>
    <w:p>
      <w:pPr>
        <w:pStyle w:val="ListParagraph"/>
        <w:numPr>
          <w:ilvl w:val="0"/>
          <w:numId w:val="2"/>
        </w:numPr>
        <w:spacing w:after="80"/>
      </w:pPr>
      <w:r>
        <w:rPr>
          <w:rFonts w:ascii="Arial" w:cs="Arial" w:eastAsia="Arial" w:hAnsi="Arial"/>
          <w:color w:val="333333"/>
          <w:sz w:val="22"/>
          <w:szCs w:val="22"/>
        </w:rPr>
        <w:t xml:space="preserve">Step 5: Notify CQC via statutory notification where the concern involves or may involve abuse or allegation of abuse.</w:t>
      </w:r>
    </w:p>
    <w:p>
      <w:pPr>
        <w:pStyle w:val="ListParagraph"/>
        <w:numPr>
          <w:ilvl w:val="0"/>
          <w:numId w:val="2"/>
        </w:numPr>
        <w:spacing w:after="80"/>
      </w:pPr>
      <w:r>
        <w:rPr>
          <w:rFonts w:ascii="Arial" w:cs="Arial" w:eastAsia="Arial" w:hAnsi="Arial"/>
          <w:color w:val="333333"/>
          <w:sz w:val="22"/>
          <w:szCs w:val="22"/>
        </w:rPr>
        <w:t xml:space="preserve">Step 6: Cooperate fully with any multi-agency investigation.</w:t>
      </w:r>
    </w:p>
    <w:p>
      <w:pPr>
        <w:pStyle w:val="ListParagraph"/>
        <w:numPr>
          <w:ilvl w:val="0"/>
          <w:numId w:val="2"/>
        </w:numPr>
        <w:spacing w:after="80"/>
      </w:pPr>
      <w:r>
        <w:rPr>
          <w:rFonts w:ascii="Arial" w:cs="Arial" w:eastAsia="Arial" w:hAnsi="Arial"/>
          <w:color w:val="333333"/>
          <w:sz w:val="22"/>
          <w:szCs w:val="22"/>
        </w:rPr>
        <w:t xml:space="preserve">Step 7: Review the case and implement any recommended actions.</w:t>
      </w:r>
    </w:p>
    <w:p>
      <w:pPr>
        <w:spacing w:after="0" w:before="80"/>
      </w:pPr>
    </w:p>
    <w:p>
      <w:pPr>
        <w:pStyle w:val="Heading1"/>
      </w:pPr>
      <w:r>
        <w:rPr>
          <w:rFonts w:ascii="Arial" w:cs="Arial" w:eastAsia="Arial" w:hAnsi="Arial"/>
          <w:b/>
          <w:bCs/>
          <w:color w:val="0B1D3A"/>
          <w:sz w:val="28"/>
          <w:szCs w:val="28"/>
        </w:rPr>
        <w:t xml:space="preserve">7. Mental Capacity and Consent</w:t>
      </w:r>
    </w:p>
    <w:p>
      <w:pPr>
        <w:spacing w:after="120"/>
        <w:jc w:val="both"/>
      </w:pPr>
      <w:r>
        <w:rPr>
          <w:rFonts w:ascii="Arial" w:cs="Arial" w:eastAsia="Arial" w:hAnsi="Arial"/>
          <w:color w:val="333333"/>
          <w:sz w:val="22"/>
          <w:szCs w:val="22"/>
        </w:rPr>
        <w:t xml:space="preserve">All safeguarding interventions shall comply with the Mental Capacity Act 2005. Where an adult has capacity, their wishes regarding referral shall be respected unless there is an overriding public interest, risk to others, or the concern involves an adult who lacks capacity. Capacity assessments shall be decision-specific, time-specific, and recorded in the clinical notes.</w:t>
      </w:r>
    </w:p>
    <w:p>
      <w:pPr>
        <w:pStyle w:val="Heading1"/>
      </w:pPr>
      <w:r>
        <w:rPr>
          <w:rFonts w:ascii="Arial" w:cs="Arial" w:eastAsia="Arial" w:hAnsi="Arial"/>
          <w:b/>
          <w:bCs/>
          <w:color w:val="0B1D3A"/>
          <w:sz w:val="28"/>
          <w:szCs w:val="28"/>
        </w:rPr>
        <w:t xml:space="preserve">8. Prevent Duty</w:t>
      </w:r>
    </w:p>
    <w:p>
      <w:pPr>
        <w:spacing w:after="120"/>
        <w:jc w:val="both"/>
      </w:pPr>
      <w:r>
        <w:rPr>
          <w:rFonts w:ascii="Arial" w:cs="Arial" w:eastAsia="Arial" w:hAnsi="Arial"/>
          <w:color w:val="333333"/>
          <w:sz w:val="22"/>
          <w:szCs w:val="22"/>
        </w:rPr>
        <w:t xml:space="preserve">[Insert Organisation Name] recognises its obligations under the Counter-Terrorism and Security Act 2015 (the Prevent Duty) to have due regard to the need to prevent people from being drawn into terrorism. Staff shall receive Prevent awareness training and report any concerns via the DSL or directly to the police Prevent team.</w:t>
      </w:r>
    </w:p>
    <w:p>
      <w:pPr>
        <w:pStyle w:val="Heading1"/>
      </w:pPr>
      <w:r>
        <w:rPr>
          <w:rFonts w:ascii="Arial" w:cs="Arial" w:eastAsia="Arial" w:hAnsi="Arial"/>
          <w:b/>
          <w:bCs/>
          <w:color w:val="0B1D3A"/>
          <w:sz w:val="28"/>
          <w:szCs w:val="28"/>
        </w:rPr>
        <w:t xml:space="preserve">9. Training and Competence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3013"/>
        <w:gridCol w:w="2500"/>
      </w:tblGrid>
      <w:tr>
        <w:tc>
          <w:tcPr>
            <w:tcW w:type="dxa" w:w="3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Staff Group</w:t>
            </w:r>
          </w:p>
        </w:tc>
        <w:tc>
          <w:tcPr>
            <w:tcW w:type="dxa" w:w="30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Training Level</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Frequency</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non-clinical staff</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Level 1 Safeguarding Adults Awareness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 induction + annual refresher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clinical staff</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Level 2 Safeguarding Adults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 induction + annual refresher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DSL and deputies</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Level 3 Safeguarding Adults (Intercollegiate)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Every 3 years + annual update</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staff</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Prevent Awareness (Home Office e-learning)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 induction + 3-yearly refresher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All staff</w:t>
            </w:r>
          </w:p>
        </w:tc>
        <w:tc>
          <w:tcPr>
            <w:tcW w:type="dxa" w:w="30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Mental Capacity Act Awareness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 induction + annual refresher</w:t>
            </w:r>
          </w:p>
        </w:tc>
      </w:tr>
    </w:tbl>
    <w:p>
      <w:pPr>
        <w:spacing w:after="0" w:before="120"/>
      </w:pPr>
    </w:p>
    <w:p>
      <w:pPr>
        <w:pStyle w:val="Heading1"/>
      </w:pPr>
      <w:r>
        <w:rPr>
          <w:rFonts w:ascii="Arial" w:cs="Arial" w:eastAsia="Arial" w:hAnsi="Arial"/>
          <w:b/>
          <w:bCs/>
          <w:color w:val="0B1D3A"/>
          <w:sz w:val="28"/>
          <w:szCs w:val="28"/>
        </w:rPr>
        <w:t xml:space="preserve">10. Record Keeping and Confidentiality</w:t>
      </w:r>
    </w:p>
    <w:p>
      <w:pPr>
        <w:spacing w:after="120"/>
        <w:jc w:val="both"/>
      </w:pPr>
      <w:r>
        <w:rPr>
          <w:rFonts w:ascii="Arial" w:cs="Arial" w:eastAsia="Arial" w:hAnsi="Arial"/>
          <w:color w:val="333333"/>
          <w:sz w:val="22"/>
          <w:szCs w:val="22"/>
        </w:rPr>
        <w:t xml:space="preserve">All safeguarding records shall be maintained separately from general clinical records, stored securely in compliance with the UK General Data Protection Regulation (UK GDPR) and the Data Protection Act 2018, and retained for a minimum period in line with the NHS Records Management Code of Practice. Information sharing shall be conducted in accordance with the Caldicott Principles and the Information Commissioner’s Office (ICO) Data Sharing Code of Practice.</w:t>
      </w:r>
    </w:p>
    <w:p>
      <w:pPr>
        <w:pStyle w:val="Heading1"/>
      </w:pPr>
      <w:r>
        <w:rPr>
          <w:rFonts w:ascii="Arial" w:cs="Arial" w:eastAsia="Arial" w:hAnsi="Arial"/>
          <w:b/>
          <w:bCs/>
          <w:color w:val="0B1D3A"/>
          <w:sz w:val="28"/>
          <w:szCs w:val="28"/>
        </w:rPr>
        <w:t xml:space="preserve">11. Monitoring and Review</w:t>
      </w:r>
    </w:p>
    <w:p>
      <w:pPr>
        <w:spacing w:after="120"/>
        <w:jc w:val="both"/>
      </w:pPr>
      <w:r>
        <w:rPr>
          <w:rFonts w:ascii="Arial" w:cs="Arial" w:eastAsia="Arial" w:hAnsi="Arial"/>
          <w:color w:val="333333"/>
          <w:sz w:val="22"/>
          <w:szCs w:val="22"/>
        </w:rPr>
        <w:t xml:space="preserve">The DSL shall maintain a safeguarding log and present a quarterly safeguarding report to the clinic’s governance meeting. This policy shall be reviewed annually or following any safeguarding incident, legislative change, or SAB audit recommendation.</w:t>
      </w: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Care Act 2014 (Sections 42–46)</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Statutory framework for safeguarding adults at risk</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13</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Safeguarding service users from abuse and improper treatment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Mental Capacity Act 2005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Capacity assessment and best interests decisions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Modern Slavery Act 2015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Identification and reporting of modern slavery and trafficking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Serious Crime Act 2015 (Section 76)</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Offence of coercive and controlling behaviour</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Counter-Terrorism and Security Act 2015 (Prevent Duty)</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Duty to prevent radicalisation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Equality Act 2010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Protection from discriminatory abuse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Data Protection Act 2018 / UK GDPR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Lawful processing and sharing of safeguarding information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(Registration) Regulations 2009 – Statutory Notifications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Duty to notify CQC of abuse or allegations of abuse</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BS-PHC-SA-002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Safeguarding Adults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2026-05-15T09:14:27.533Z</dcterms:created>
  <dcterms:modified xsi:type="dcterms:W3CDTF">2026-05-15T09:14:27.533Z</dcterms:modified>
</cp:coreProperties>
</file>

<file path=docProps/custom.xml><?xml version="1.0" encoding="utf-8"?>
<Properties xmlns="http://schemas.openxmlformats.org/officeDocument/2006/custom-properties" xmlns:vt="http://schemas.openxmlformats.org/officeDocument/2006/docPropsVTypes"/>
</file>