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Staffing and Recruitment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BS-PHC-SR-009</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Staffing and Recruitment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BS-PHC-SR-009</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the recruitment, selection, and staffing procedures for [Insert Organisation Name] to ensure that sufficient numbers of suitably qualified, competent, and experienced persons are employed or engaged to deliver safe and effective care. It ensures compliance with the Health and Social Care Act 2008 (Regulated Activities) Regulations 2014 (Regulation 18 – Staffing and Regulation 19 – Fit and Proper Persons Employed).</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the recruitment of all permanent, temporary, bank, agency, locum, and voluntary staff, as well as self-employed practitioners granted practising privileges by [Insert Organisation Name].</w:t>
      </w:r>
    </w:p>
    <w:p>
      <w:pPr>
        <w:pStyle w:val="Heading1"/>
      </w:pPr>
      <w:r>
        <w:rPr>
          <w:rFonts w:ascii="Arial" w:cs="Arial" w:eastAsia="Arial" w:hAnsi="Arial"/>
          <w:b/>
          <w:bCs/>
          <w:color w:val="0B1D3A"/>
          <w:sz w:val="28"/>
          <w:szCs w:val="28"/>
        </w:rPr>
        <w:t xml:space="preserve">3. Pre-Employment Checks</w:t>
      </w:r>
    </w:p>
    <w:p>
      <w:pPr>
        <w:spacing w:after="120"/>
        <w:jc w:val="both"/>
      </w:pPr>
      <w:r>
        <w:rPr>
          <w:rFonts w:ascii="Arial" w:cs="Arial" w:eastAsia="Arial" w:hAnsi="Arial"/>
          <w:color w:val="333333"/>
          <w:sz w:val="22"/>
          <w:szCs w:val="22"/>
        </w:rPr>
        <w:t xml:space="preserve">Before any person commences employment or engagement, the following checks shall be completed and verified in accordance with Regulation 19 and Schedule 3 of the Health and Social Care Act 2008 (Regulated Activities) Regulations 2014:</w:t>
      </w:r>
    </w:p>
    <w:p>
      <w:pPr>
        <w:pStyle w:val="ListParagraph"/>
        <w:numPr>
          <w:ilvl w:val="0"/>
          <w:numId w:val="2"/>
        </w:numPr>
        <w:spacing w:after="80"/>
      </w:pPr>
      <w:r>
        <w:rPr>
          <w:rFonts w:ascii="Arial" w:cs="Arial" w:eastAsia="Arial" w:hAnsi="Arial"/>
          <w:color w:val="333333"/>
          <w:sz w:val="22"/>
          <w:szCs w:val="22"/>
        </w:rPr>
        <w:t xml:space="preserve">Proof of identity (photographic ID and proof of address)</w:t>
      </w:r>
    </w:p>
    <w:p>
      <w:pPr>
        <w:pStyle w:val="ListParagraph"/>
        <w:numPr>
          <w:ilvl w:val="0"/>
          <w:numId w:val="2"/>
        </w:numPr>
        <w:spacing w:after="80"/>
      </w:pPr>
      <w:r>
        <w:rPr>
          <w:rFonts w:ascii="Arial" w:cs="Arial" w:eastAsia="Arial" w:hAnsi="Arial"/>
          <w:color w:val="333333"/>
          <w:sz w:val="22"/>
          <w:szCs w:val="22"/>
        </w:rPr>
        <w:t xml:space="preserve">Right to work in the United Kingdom (Immigration, Asylum and Nationality Act 2006)</w:t>
      </w:r>
    </w:p>
    <w:p>
      <w:pPr>
        <w:pStyle w:val="ListParagraph"/>
        <w:numPr>
          <w:ilvl w:val="0"/>
          <w:numId w:val="2"/>
        </w:numPr>
        <w:spacing w:after="80"/>
      </w:pPr>
      <w:r>
        <w:rPr>
          <w:rFonts w:ascii="Arial" w:cs="Arial" w:eastAsia="Arial" w:hAnsi="Arial"/>
          <w:color w:val="333333"/>
          <w:sz w:val="22"/>
          <w:szCs w:val="22"/>
        </w:rPr>
        <w:t xml:space="preserve">Disclosure and Barring Service (DBS) check at the appropriate level (enhanced with barred list check for clinical roles) under the Safeguarding Vulnerable Groups Act 2006</w:t>
      </w:r>
    </w:p>
    <w:p>
      <w:pPr>
        <w:pStyle w:val="ListParagraph"/>
        <w:numPr>
          <w:ilvl w:val="0"/>
          <w:numId w:val="2"/>
        </w:numPr>
        <w:spacing w:after="80"/>
      </w:pPr>
      <w:r>
        <w:rPr>
          <w:rFonts w:ascii="Arial" w:cs="Arial" w:eastAsia="Arial" w:hAnsi="Arial"/>
          <w:color w:val="333333"/>
          <w:sz w:val="22"/>
          <w:szCs w:val="22"/>
        </w:rPr>
        <w:t xml:space="preserve">Verification of professional registration (GMC, NMC, GPhC, HCPC, or other relevant regulatory body)</w:t>
      </w:r>
    </w:p>
    <w:p>
      <w:pPr>
        <w:pStyle w:val="ListParagraph"/>
        <w:numPr>
          <w:ilvl w:val="0"/>
          <w:numId w:val="2"/>
        </w:numPr>
        <w:spacing w:after="80"/>
      </w:pPr>
      <w:r>
        <w:rPr>
          <w:rFonts w:ascii="Arial" w:cs="Arial" w:eastAsia="Arial" w:hAnsi="Arial"/>
          <w:color w:val="333333"/>
          <w:sz w:val="22"/>
          <w:szCs w:val="22"/>
        </w:rPr>
        <w:t xml:space="preserve">Verification of qualifications relevant to the role</w:t>
      </w:r>
    </w:p>
    <w:p>
      <w:pPr>
        <w:pStyle w:val="ListParagraph"/>
        <w:numPr>
          <w:ilvl w:val="0"/>
          <w:numId w:val="2"/>
        </w:numPr>
        <w:spacing w:after="80"/>
      </w:pPr>
      <w:r>
        <w:rPr>
          <w:rFonts w:ascii="Arial" w:cs="Arial" w:eastAsia="Arial" w:hAnsi="Arial"/>
          <w:color w:val="333333"/>
          <w:sz w:val="22"/>
          <w:szCs w:val="22"/>
        </w:rPr>
        <w:t xml:space="preserve">A minimum of two satisfactory references covering the previous 3 years of employment</w:t>
      </w:r>
    </w:p>
    <w:p>
      <w:pPr>
        <w:pStyle w:val="ListParagraph"/>
        <w:numPr>
          <w:ilvl w:val="0"/>
          <w:numId w:val="2"/>
        </w:numPr>
        <w:spacing w:after="80"/>
      </w:pPr>
      <w:r>
        <w:rPr>
          <w:rFonts w:ascii="Arial" w:cs="Arial" w:eastAsia="Arial" w:hAnsi="Arial"/>
          <w:color w:val="333333"/>
          <w:sz w:val="22"/>
          <w:szCs w:val="22"/>
        </w:rPr>
        <w:t xml:space="preserve">A full employment history with satisfactory explanations for any gaps</w:t>
      </w:r>
    </w:p>
    <w:p>
      <w:pPr>
        <w:pStyle w:val="ListParagraph"/>
        <w:numPr>
          <w:ilvl w:val="0"/>
          <w:numId w:val="2"/>
        </w:numPr>
        <w:spacing w:after="80"/>
      </w:pPr>
      <w:r>
        <w:rPr>
          <w:rFonts w:ascii="Arial" w:cs="Arial" w:eastAsia="Arial" w:hAnsi="Arial"/>
          <w:color w:val="333333"/>
          <w:sz w:val="22"/>
          <w:szCs w:val="22"/>
        </w:rPr>
        <w:t xml:space="preserve">Health assessment or occupational health clearance confirming fitness for the role</w:t>
      </w:r>
    </w:p>
    <w:p>
      <w:pPr>
        <w:pStyle w:val="ListParagraph"/>
        <w:numPr>
          <w:ilvl w:val="0"/>
          <w:numId w:val="2"/>
        </w:numPr>
        <w:spacing w:after="80"/>
      </w:pPr>
      <w:r>
        <w:rPr>
          <w:rFonts w:ascii="Arial" w:cs="Arial" w:eastAsia="Arial" w:hAnsi="Arial"/>
          <w:color w:val="333333"/>
          <w:sz w:val="22"/>
          <w:szCs w:val="22"/>
        </w:rPr>
        <w:t xml:space="preserve">Evidence of required immunisations for clinical staff</w:t>
      </w:r>
    </w:p>
    <w:p>
      <w:pPr>
        <w:spacing w:after="0" w:before="80"/>
      </w:pPr>
    </w:p>
    <w:p>
      <w:pPr>
        <w:pStyle w:val="Heading1"/>
      </w:pPr>
      <w:r>
        <w:rPr>
          <w:rFonts w:ascii="Arial" w:cs="Arial" w:eastAsia="Arial" w:hAnsi="Arial"/>
          <w:b/>
          <w:bCs/>
          <w:color w:val="0B1D3A"/>
          <w:sz w:val="28"/>
          <w:szCs w:val="28"/>
        </w:rPr>
        <w:t xml:space="preserve">4. Fit and Proper Persons – Directors (Regulation 5)</w:t>
      </w:r>
    </w:p>
    <w:p>
      <w:pPr>
        <w:spacing w:after="120"/>
        <w:jc w:val="both"/>
      </w:pPr>
      <w:r>
        <w:rPr>
          <w:rFonts w:ascii="Arial" w:cs="Arial" w:eastAsia="Arial" w:hAnsi="Arial"/>
          <w:color w:val="333333"/>
          <w:sz w:val="22"/>
          <w:szCs w:val="22"/>
        </w:rPr>
        <w:t xml:space="preserve">In addition to the above, persons appointed to director-level positions shall be subject to the Fit and Proper Persons Requirement under Regulation 5 of the Health and Social Care Act 2008 (Regulated Activities) Regulations 2014. Checks shall include insolvency and bankruptcy searches, director disqualification register checks, and confirmation that the individual has not been responsible for, been privy to, contributed to, or facilitated any serious misconduct or mismanagement (whether lawful or not) in the carrying on of a regulated activity.</w:t>
      </w:r>
    </w:p>
    <w:p>
      <w:pPr>
        <w:pStyle w:val="Heading1"/>
      </w:pPr>
      <w:r>
        <w:rPr>
          <w:rFonts w:ascii="Arial" w:cs="Arial" w:eastAsia="Arial" w:hAnsi="Arial"/>
          <w:b/>
          <w:bCs/>
          <w:color w:val="0B1D3A"/>
          <w:sz w:val="28"/>
          <w:szCs w:val="28"/>
        </w:rPr>
        <w:t xml:space="preserve">5. Ongoing Registration and Revalidation</w:t>
      </w:r>
    </w:p>
    <w:p>
      <w:pPr>
        <w:spacing w:after="120"/>
        <w:jc w:val="both"/>
      </w:pPr>
      <w:r>
        <w:rPr>
          <w:rFonts w:ascii="Arial" w:cs="Arial" w:eastAsia="Arial" w:hAnsi="Arial"/>
          <w:color w:val="333333"/>
          <w:sz w:val="22"/>
          <w:szCs w:val="22"/>
        </w:rPr>
        <w:t xml:space="preserve">The clinic shall maintain a central register of all clinical staff, recording their professional registration number, registration expiry date, DBS certificate date and reference, and revalidation/appraisal dates. Professional registration shall be verified annually as a minimum. Lapsed registration constitutes grounds for immediate suspension from clinical duties pending investigation.</w:t>
      </w:r>
    </w:p>
    <w:p>
      <w:pPr>
        <w:pStyle w:val="Heading1"/>
      </w:pPr>
      <w:r>
        <w:rPr>
          <w:rFonts w:ascii="Arial" w:cs="Arial" w:eastAsia="Arial" w:hAnsi="Arial"/>
          <w:b/>
          <w:bCs/>
          <w:color w:val="0B1D3A"/>
          <w:sz w:val="28"/>
          <w:szCs w:val="28"/>
        </w:rPr>
        <w:t xml:space="preserve">6. Agency and Locum Staff</w:t>
      </w:r>
    </w:p>
    <w:p>
      <w:pPr>
        <w:spacing w:after="120"/>
        <w:jc w:val="both"/>
      </w:pPr>
      <w:r>
        <w:rPr>
          <w:rFonts w:ascii="Arial" w:cs="Arial" w:eastAsia="Arial" w:hAnsi="Arial"/>
          <w:color w:val="333333"/>
          <w:sz w:val="22"/>
          <w:szCs w:val="22"/>
        </w:rPr>
        <w:t xml:space="preserve">Where agency or locum staff are engaged, [Insert Organisation Name] shall verify that the agency conducts all pre-employment checks to the same standard as direct recruitment. Written confirmation of checks completed (including DBS, professional registration, and references) shall be obtained before the agency worker commences work. Agency staff shall receive a site-specific induction on their first shift.</w:t>
      </w:r>
    </w:p>
    <w:p>
      <w:pPr>
        <w:pStyle w:val="Heading1"/>
      </w:pPr>
      <w:r>
        <w:rPr>
          <w:rFonts w:ascii="Arial" w:cs="Arial" w:eastAsia="Arial" w:hAnsi="Arial"/>
          <w:b/>
          <w:bCs/>
          <w:color w:val="0B1D3A"/>
          <w:sz w:val="28"/>
          <w:szCs w:val="28"/>
        </w:rPr>
        <w:t xml:space="preserve">7. Induction</w:t>
      </w:r>
    </w:p>
    <w:p>
      <w:pPr>
        <w:spacing w:after="120"/>
        <w:jc w:val="both"/>
      </w:pPr>
      <w:r>
        <w:rPr>
          <w:rFonts w:ascii="Arial" w:cs="Arial" w:eastAsia="Arial" w:hAnsi="Arial"/>
          <w:color w:val="333333"/>
          <w:sz w:val="22"/>
          <w:szCs w:val="22"/>
        </w:rPr>
        <w:t xml:space="preserve">All new starters shall complete a structured induction programme covering clinic orientation, fire safety and emergency procedures, health and safety, IPC, safeguarding, medicines management (for clinical roles), data protection and confidentiality, complaints procedure, and incident reporting. The induction shall be documented and signed off by the line manager and the new starter.</w:t>
      </w:r>
    </w:p>
    <w:p>
      <w:pPr>
        <w:pStyle w:val="Heading1"/>
      </w:pPr>
      <w:r>
        <w:rPr>
          <w:rFonts w:ascii="Arial" w:cs="Arial" w:eastAsia="Arial" w:hAnsi="Arial"/>
          <w:b/>
          <w:bCs/>
          <w:color w:val="0B1D3A"/>
          <w:sz w:val="28"/>
          <w:szCs w:val="28"/>
        </w:rPr>
        <w:t xml:space="preserve">8. Staffing Levels and Skill Mix</w:t>
      </w:r>
    </w:p>
    <w:p>
      <w:pPr>
        <w:spacing w:after="120"/>
        <w:jc w:val="both"/>
      </w:pPr>
      <w:r>
        <w:rPr>
          <w:rFonts w:ascii="Arial" w:cs="Arial" w:eastAsia="Arial" w:hAnsi="Arial"/>
          <w:color w:val="333333"/>
          <w:sz w:val="22"/>
          <w:szCs w:val="22"/>
        </w:rPr>
        <w:t xml:space="preserve">The Registered Manager shall ensure that staffing levels and skill mix are adequate to meet the needs of patients safely at all times. Staffing shall be reviewed in response to changes in patient acuity, service demand, seasonal variation, and staff absence. Where staffing falls below safe levels, the Registered Manager shall take immediate action to mitigate risk, which may include restricting appointments, closing services temporarily, or engaging additional agency staff.</w:t>
      </w:r>
    </w:p>
    <w:p>
      <w:pPr>
        <w:pStyle w:val="Heading1"/>
      </w:pPr>
      <w:r>
        <w:rPr>
          <w:rFonts w:ascii="Arial" w:cs="Arial" w:eastAsia="Arial" w:hAnsi="Arial"/>
          <w:b/>
          <w:bCs/>
          <w:color w:val="0B1D3A"/>
          <w:sz w:val="28"/>
          <w:szCs w:val="28"/>
        </w:rPr>
        <w:t xml:space="preserve">9. Supervision and Appraisal</w:t>
      </w:r>
    </w:p>
    <w:p>
      <w:pPr>
        <w:spacing w:after="120"/>
        <w:jc w:val="both"/>
      </w:pPr>
      <w:r>
        <w:rPr>
          <w:rFonts w:ascii="Arial" w:cs="Arial" w:eastAsia="Arial" w:hAnsi="Arial"/>
          <w:color w:val="333333"/>
          <w:sz w:val="22"/>
          <w:szCs w:val="22"/>
        </w:rPr>
        <w:t xml:space="preserve">All staff shall receive regular supervision appropriate to their role (minimum quarterly for clinical staff) and an annual appraisal. Supervision and appraisal records shall be maintained and shall identify training needs, performance objectives, and professional development plans.</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Staffing – sufficient numbers of suitably qualified staff</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19</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Fit and proper persons employed – pre-employment checks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Fit and proper persons – directors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Safeguarding Vulnerable Groups Act 2006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DBS checks and barred lists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Rehabilitation of Offenders Act 1974 (Exceptions) Order 1975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Disclosure of spent and unspent convictions for regulated activity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Immigration, Asylum and Nationality Act 2006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Right to work verification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Equality Act 2010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Non-discriminatory recruitment and selection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Employment Rights Act 1996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Terms of employment and employment protections</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BS-PHC-SR-009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Staffing and Recruitment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2026-05-15T09:14:28.300Z</dcterms:created>
  <dcterms:modified xsi:type="dcterms:W3CDTF">2026-05-15T09:14:28.300Z</dcterms:modified>
</cp:coreProperties>
</file>

<file path=docProps/custom.xml><?xml version="1.0" encoding="utf-8"?>
<Properties xmlns="http://schemas.openxmlformats.org/officeDocument/2006/custom-properties" xmlns:vt="http://schemas.openxmlformats.org/officeDocument/2006/docPropsVTypes"/>
</file>