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CHEMICAL SKIN PEELS</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BS-RA-003</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the application of chemical skin peels within the aesthetic clinic, ensuring the safety and wellbeing of patients, practitioners and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superficial, medium and deep chemical peels including glycolic acid, salicylic acid, lactic acid, TCA (trichloroacetic acid), Jessner’s solution, and phenol-based peels. It applies to all trained practitioners and clinical support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Control of Substances Hazardous to Health Regulations 2002 (COSHH) (SI 2002/2677)</w:t>
      </w:r>
    </w:p>
    <w:p>
      <w:pPr>
        <w:spacing w:after="60" w:before="60"/>
      </w:pPr>
      <w:r>
        <w:rPr>
          <w:rFonts w:ascii="Arial" w:cs="Arial" w:eastAsia="Arial" w:hAnsi="Arial"/>
          <w:color w:val="333333"/>
          <w:sz w:val="20"/>
          <w:szCs w:val="20"/>
        </w:rPr>
        <w:t xml:space="preserve">•  The Cosmetic Products Enforcement Regulations 2013 (SI 2013/1478)</w:t>
      </w:r>
    </w:p>
    <w:p>
      <w:pPr>
        <w:spacing w:after="60" w:before="60"/>
      </w:pPr>
      <w:r>
        <w:rPr>
          <w:rFonts w:ascii="Arial" w:cs="Arial" w:eastAsia="Arial" w:hAnsi="Arial"/>
          <w:color w:val="333333"/>
          <w:sz w:val="20"/>
          <w:szCs w:val="20"/>
        </w:rPr>
        <w:t xml:space="preserve">•  Consumer Protection Act 1987 – Part I</w:t>
      </w:r>
    </w:p>
    <w:p>
      <w:pPr>
        <w:spacing w:after="60" w:before="60"/>
      </w:pPr>
      <w:r>
        <w:rPr>
          <w:rFonts w:ascii="Arial" w:cs="Arial" w:eastAsia="Arial" w:hAnsi="Arial"/>
          <w:color w:val="333333"/>
          <w:sz w:val="20"/>
          <w:szCs w:val="20"/>
        </w:rPr>
        <w:t xml:space="preserve">•  Personal Protective Equipment at Work Regulations 1992 (SI 1992/2966)</w:t>
      </w:r>
    </w:p>
    <w:p>
      <w:pPr>
        <w:spacing w:after="60" w:before="60"/>
      </w:pPr>
      <w:r>
        <w:rPr>
          <w:rFonts w:ascii="Arial" w:cs="Arial" w:eastAsia="Arial" w:hAnsi="Arial"/>
          <w:color w:val="333333"/>
          <w:sz w:val="20"/>
          <w:szCs w:val="20"/>
        </w:rPr>
        <w:t xml:space="preserve">•  REACH Regulation (retained EU law) – Registration, Evaluation, Authorisation of Chemicals</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Chemical burn / over-penetration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Patch test 48 hours prior; Fitzpatrick skin type assessment; timed application with neutraliser on standby; practitioner trained in peel depth protocols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Burn management protocol; cool water irrigation available; emergency referral pathway to dermatology/burns unit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Post-inflammatory hyperpigmentation (PIH)</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Fitzpatrick assessment (types IV–VI higher risk); conservative peel selection; pre-treatment skin conditioning (retinoid/hydroquinone programme)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Written informed consent specifically addressing PIH risk; photographic documentation; SPF aftercare protocol</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Allergic / irritant contact dermatitis</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Practitioners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Patch testing; full ingredient disclosure; COSHH assessment for each product; use of nitrile gloves and eye protection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Alternative hypoallergenic options available; practitioner skin health monitoring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Eye / mucous membrane splash</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Practitioners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Protective eye pads for patient; goggles for practitioner; controlled application technique; eyewash station within 10 metres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Splash injury protocol displayed; annual eye safety training</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Inhalation of chemical vapours (phenol / TCA)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Adequate room ventilation; extraction fan for deep peels; RPE (FFP2 mask minimum) for phenol peels; COSHH risk assessment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Occupational exposure monitoring; deep peel procedures restricted to ventilated theatre; health surveillance for regular practitioners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Infection / secondary herpes simplex reactivation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Pre-treatment screening for HSV history; prophylactic antiviral prescription for medium/deep peels; post-peel wound care instructions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Antiviral protocol documented; follow-up at 48 hours and 7 days; infection escalation pathway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Incorrect product concentration / application time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Product labelling verified pre-application; timer used; concentration escalation protocol; double-check by second practitioner for deep peels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Standard operating procedure (SOP) per peel type; annual competency assessment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Inadequate aftercare / sun exposure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Written aftercare leaflet; SPF 50 sample provided; verbal reinforcement of sun avoidance; follow-up call at 24–48 hours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Post-peel skincare kit offered; reminder SMS/email system; seasonal treatment scheduling guidance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Deep chemical peels (e.g., phenol-based) carry significantly higher risk and should only be performed by or under the direct supervision of a medical practitioner in an appropriate clinical environment with resuscitation facilities. COSHH assessments must be completed for each chemical agent and reviewed annually. Material Safety Data Sheets (MSDS) must be available for all products in use.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BS-RA-003</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2026-05-15T09:38:41.419Z</dcterms:created>
  <dcterms:modified xsi:type="dcterms:W3CDTF">2026-05-15T09:38:41.419Z</dcterms:modified>
</cp:coreProperties>
</file>

<file path=docProps/custom.xml><?xml version="1.0" encoding="utf-8"?>
<Properties xmlns="http://schemas.openxmlformats.org/officeDocument/2006/custom-properties" xmlns:vt="http://schemas.openxmlformats.org/officeDocument/2006/docPropsVTypes"/>
</file>