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CRYOTHERAPY / CRYOLIPOLYSIS (FAT FREEZING)</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BS-RA-007</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Clinic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cryotherapy and cryolipolysis (non-surgical fat reduction) treatments within the aesthetic clinic, ensuring the safety of patients, practitioners and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cryolipolysis treatments (e.g., CoolSculpting, comparable devices) for non-surgical body contouring, including abdomen, flanks, thighs, submental (double chin), and upper arms. It also covers localised cryotherapy for skin lesion treatment where applicable. It applies to all operators, clinical assistants, and support staff.</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Health and Safety at Work etc. Act 1974 – Sections 2 &amp; 3</w:t>
      </w:r>
    </w:p>
    <w:p>
      <w:pPr>
        <w:spacing w:after="60" w:before="60"/>
      </w:pPr>
      <w:r>
        <w:rPr>
          <w:rFonts w:ascii="Arial" w:cs="Arial" w:eastAsia="Arial" w:hAnsi="Arial"/>
          <w:color w:val="333333"/>
          <w:sz w:val="20"/>
          <w:szCs w:val="20"/>
        </w:rPr>
        <w:t xml:space="preserve">•  The Management of Health and Safety at Work Regulations 1999 (SI 1999/3242)</w:t>
      </w:r>
    </w:p>
    <w:p>
      <w:pPr>
        <w:spacing w:after="60" w:before="60"/>
      </w:pPr>
      <w:r>
        <w:rPr>
          <w:rFonts w:ascii="Arial" w:cs="Arial" w:eastAsia="Arial" w:hAnsi="Arial"/>
          <w:color w:val="333333"/>
          <w:sz w:val="20"/>
          <w:szCs w:val="20"/>
        </w:rPr>
        <w:t xml:space="preserve">•  The Provision and Use of Work Equipment Regulations 1998 (PUWER) (SI 1998/2306)</w:t>
      </w:r>
    </w:p>
    <w:p>
      <w:pPr>
        <w:spacing w:after="60" w:before="60"/>
      </w:pPr>
      <w:r>
        <w:rPr>
          <w:rFonts w:ascii="Arial" w:cs="Arial" w:eastAsia="Arial" w:hAnsi="Arial"/>
          <w:color w:val="333333"/>
          <w:sz w:val="20"/>
          <w:szCs w:val="20"/>
        </w:rPr>
        <w:t xml:space="preserve">•  Electricity at Work Regulations 1989 (SI 1989/635)</w:t>
      </w:r>
    </w:p>
    <w:p>
      <w:pPr>
        <w:spacing w:after="60" w:before="60"/>
      </w:pPr>
      <w:r>
        <w:rPr>
          <w:rFonts w:ascii="Arial" w:cs="Arial" w:eastAsia="Arial" w:hAnsi="Arial"/>
          <w:color w:val="333333"/>
          <w:sz w:val="20"/>
          <w:szCs w:val="20"/>
        </w:rPr>
        <w:t xml:space="preserve">•  Consumer Protection Act 1987 – Part I (Product Liability)</w:t>
      </w:r>
    </w:p>
    <w:p>
      <w:pPr>
        <w:spacing w:after="60" w:before="60"/>
      </w:pPr>
      <w:r>
        <w:rPr>
          <w:rFonts w:ascii="Arial" w:cs="Arial" w:eastAsia="Arial" w:hAnsi="Arial"/>
          <w:color w:val="333333"/>
          <w:sz w:val="20"/>
          <w:szCs w:val="20"/>
        </w:rPr>
        <w:t xml:space="preserve">•  General Product Safety Regulations 2005 (SI 2005/1803)</w:t>
      </w:r>
    </w:p>
    <w:p>
      <w:pPr>
        <w:spacing w:after="60" w:before="60"/>
      </w:pPr>
      <w:r>
        <w:rPr>
          <w:rFonts w:ascii="Arial" w:cs="Arial" w:eastAsia="Arial" w:hAnsi="Arial"/>
          <w:color w:val="333333"/>
          <w:sz w:val="20"/>
          <w:szCs w:val="20"/>
        </w:rPr>
        <w:t xml:space="preserve">•  Health and Social Care Act 2008 (Regulated Activities) Regulations 2014 – Regulation 12</w:t>
      </w:r>
    </w:p>
    <w:p>
      <w:pPr>
        <w:spacing w:after="60" w:before="60"/>
      </w:pPr>
      <w:r>
        <w:rPr>
          <w:rFonts w:ascii="Arial" w:cs="Arial" w:eastAsia="Arial" w:hAnsi="Arial"/>
          <w:color w:val="333333"/>
          <w:sz w:val="20"/>
          <w:szCs w:val="20"/>
        </w:rPr>
        <w:t xml:space="preserve">•  Medical Devices Regulations 2002 (SI 2002/618, as amended)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Frostbite / cold burn to skin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Gel pad / antifreeze membrane applied between applicator and skin; device temperature monitoring; trained operator</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Burn management protocol; warm compress available; referral pathway to dermatology; incident reporting</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Paradoxical adipose hyperplasia (PAH)</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Informed consent specifically addressing PAH risk; patient selection criteria (BMI, expectations); follow-up at 8–12 weeks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PAH management pathway (referral for liposuction); photographic documentation pre/post; clinical audit of incidence</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Nerve damage / prolonged numbness</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Correct applicator size selection; adherence to manufacturer treatment times; post-treatment sensation check</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Neurology referral pathway; patient information on expected sensation changes; complication log</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Vasovagal episode during treatment</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 positioned comfortably; observation throughout; trained first aider on-site</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Fainting protocol; treatment paused if patient symptomatic; recovery area available</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Electrical fault / device malfunction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 Practitioners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Annual PAT testing; manufacturer-scheduled servicing; pre-use equipment checklist; RCD protection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Fault reporting log; emergency shutdown training; backup device or rescheduling protocol</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Bruising / swelling / skin sensitivity</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Pre-treatment assessment; aftercare leaflet; avoid blood-thinning medications where possible; follow-up at 48 hours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Complication helpline; massage technique guidance for post-treatment; patient satisfaction survey</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6</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Treatment of contraindicated patient</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Medical questionnaire screening for Raynaud’s, cryoglobulinaemia, cold urticaria, hernia at treatment site, pregnancy</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Contraindication checklist laminated in treatment room; GP liaison for uncertain cases; annual protocol review</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Unrealistic patient expectations / psychological harm</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Patients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Pre-treatment consultation managing expectations; before/after photo examples; clear explanation this is body contouring not weight loss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left"/>
            </w:pPr>
            <w:r>
              <w:rPr>
                <w:rFonts w:ascii="Arial" w:cs="Arial" w:eastAsia="Arial" w:hAnsi="Arial"/>
                <w:color w:val="333333"/>
                <w:sz w:val="17"/>
                <w:szCs w:val="17"/>
              </w:rPr>
              <w:t xml:space="preserve">BDD screening tool; psychological referral pathway; treatment refusal policy; patient feedback mechanism</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900"/>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4</w:t>
            </w:r>
          </w:p>
        </w:tc>
        <w:tc>
          <w:tcPr>
            <w:tcW w:type="dxa" w:w="1578"/>
            <w:tcBorders>
              <w:top w:val="single" w:color="CCCCCC" w:sz="1"/>
              <w:left w:val="single" w:color="CCCCCC" w:sz="1"/>
              <w:bottom w:val="single" w:color="CCCCCC" w:sz="1"/>
              <w:right w:val="single" w:color="CCCCCC" w:sz="1"/>
            </w:tcBorders>
            <w:shd w:fill="E8F8F0" w:val="clear"/>
            <w:tcMar>
              <w:top w:type="dxa" w:w="50"/>
              <w:left w:type="dxa" w:w="80"/>
              <w:bottom w:type="dxa" w:w="50"/>
              <w:right w:type="dxa" w:w="80"/>
            </w:tcMar>
            <w:vAlign w:val="center"/>
          </w:tcPr>
          <w:p>
            <w:pPr>
              <w:jc w:val="center"/>
            </w:pPr>
            <w:r>
              <w:rPr>
                <w:rFonts w:ascii="Arial" w:cs="Arial" w:eastAsia="Arial" w:hAnsi="Arial"/>
                <w:b/>
                <w:bCs/>
                <w:color w:val="27AE60"/>
                <w:sz w:val="17"/>
                <w:szCs w:val="17"/>
              </w:rPr>
              <w:t xml:space="preserve">LOW</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Cryolipolysis devices must be CE-marked and operated in accordance with manufacturer instructions. Operators must hold device-specific training certification. Paradoxical adipose hyperplasia (PAH), although rare, is a recognised complication and must be discussed during the consent process. Treatment areas should be documented with photographs at baseline and follow-up. Clinical waste and consumables must be disposed of per clinic waste management policy.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Clinical Lead / Medical Director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Aesthetic Clinic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BS-RA-007</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Aesthetic Clinic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2026-05-15T09:38:41.708Z</dcterms:created>
  <dcterms:modified xsi:type="dcterms:W3CDTF">2026-05-15T09:38:41.708Z</dcterms:modified>
</cp:coreProperties>
</file>

<file path=docProps/custom.xml><?xml version="1.0" encoding="utf-8"?>
<Properties xmlns="http://schemas.openxmlformats.org/officeDocument/2006/custom-properties" xmlns:vt="http://schemas.openxmlformats.org/officeDocument/2006/docPropsVTypes"/>
</file>