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B1D3A"/>
          <w:sz w:val="36"/>
          <w:szCs w:val="36"/>
        </w:rPr>
        <w:t xml:space="preserve">RISK ASSESSMENT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D4AF37"/>
          <w:sz w:val="28"/>
          <w:szCs w:val="28"/>
        </w:rPr>
        <w:t xml:space="preserve">DERMAL FILLER TREATMENTS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Document Reference: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BS-RA-002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Assessment Date: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[DD/MM/YYYY]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Review Date: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[DD/MM/YYYY]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Assessor: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[Insert Name]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Location: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[Insert Clinic Name &amp; Address]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Version: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1.0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1. Purpose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 identify, evaluate and mitigate risks associated with the injection of dermal fillers (hyaluronic acid and non-HA based) in the aesthetic clinic, protecting patients, practitioners and staff from foreseeable harm.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2. Scope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assessment covers all dermal filler procedures including lip augmentation, nasolabial fold correction, cheek volumisation, jawline contouring, tear trough treatment, and non-surgical rhinoplasty. It applies to all qualified practitioners and support staff.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3. Legal &amp; Regulatory Framework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Health and Safety at Work etc. Act 1974 – Sections 2 &amp; 3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The Management of Health and Safety at Work Regulations 1999 (SI 1999/3242) – Regulation 3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The Cosmetic Products Enforcement Regulations 2013 (SI 2013/1478)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Health and Social Care Act 2008 (Regulated Activities) Regulations 2014 – Regulation 12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Consumer Protection Act 1987 – Part I (Product Liability)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General Product Safety Regulations 2005 (SI 2005/1803)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Joint Council for Cosmetic Practitioners (JCCP) Standards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Keogh Review Recommendations (2013) – Non-surgical cosmetic procedures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Nursing and Midwifery Council (NMC) Code 2018 (where applicable)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4. Risk Rating Matrix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Risk is calculated as Likelihood (L) × Severity (S). The following colour-coded matrix defines action thresholds:</w:t>
      </w:r>
    </w:p>
    <w:p>
      <w:pPr>
        <w:spacing w:after="100" w:before="100"/>
      </w:pP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507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 (L)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 (S)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 (L×S)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5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1–2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1–2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1–4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5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Monitor – no immediate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2–3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2–3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5–12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Controls required; review quarterly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4–5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4–5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13–25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5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Immediate action; cease activity until controlled</w:t>
            </w:r>
          </w:p>
        </w:tc>
      </w:tr>
    </w:tbl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5. Hazard Identification &amp; Control Measures</w:t>
      </w:r>
    </w:p>
    <w:p>
      <w:pPr>
        <w:spacing w:after="100" w:before="100"/>
      </w:pP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200"/>
        <w:gridCol w:w="3200"/>
        <w:gridCol w:w="800"/>
        <w:gridCol w:w="800"/>
        <w:gridCol w:w="900"/>
        <w:gridCol w:w="1578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Hazard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 Is at Risk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Existing Controls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Additional Controls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Rating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Vascular occlusion / tissue necrosis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Patients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Practitioners trained in facial vascular anatomy; aspiration technique; slow injection; use of blunt cannulae where appropriate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Hyaluronidase (Hyalase) available on-site; vascular occlusion emergency protocol; annual training drill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10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Anaphylaxis / severe allergic reaction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Patients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Comprehensive medical history; allergy screening; emergency resuscitation kit with adrenaline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Annual anaphylaxis/BLS training for all clinical staff; emergency protocol poster in each treatment room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5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Infection / biofilm formation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Patients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Aseptic non-touch technique (ANTT); skin cleansing with chlorhexidine; single-use consumables; sterile product handling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Antibiotic prescribing protocol; biofilm awareness training; incident log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8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Asymmetry / overcorrection / migration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Patients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Conservative volumisation approach; use of CE-marked products; review appointment at 2–4 weeks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Standardised photographic documentation; patient satisfaction survey; complication audit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6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Needlestick / sharps injury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Practitioners, Staff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Safety-engineered needles and cannulae; sharps bin at point of use; staff Hepatitis B vaccination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Needlestick protocol poster; incident reporting via Datix or equivalent; quarterly sharps audit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6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Patient psychological distress (body dysmorphia)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Patients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Pre-treatment psychological screening; identification of body dysmorphic disorder (BDD) indicators; right to refuse treatment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Referral pathway to GP/mental health professional; BDD training for all practitioners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6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Counterfeit or non-CE-marked product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Patients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Products sourced from authorised UK distributors only; batch traceability; product verification on receipt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Supplier audit annually; suspicious product reporting to MHRA; chain of custody documentation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5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Bruising / swelling / delayed hypersensitivity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Patients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Pre-treatment advice (avoid blood thinners); ice application; aftercare leaflet; follow-up contact within 48 hours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Complication helpline/contact for patients; escalation pathway to medical director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6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</w:tbl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6. Additional Notes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Dermal fillers are classified as medical devices under UK MDR 2002 (as amended). Hyaluronidase (Hyalase) is a POM and must be available wherever HA fillers are administered, with staff trained in its emergency use. From April 2022, non-surgical cosmetic procedures in England are subject to licensing under local authority schemes. All complications must be documented and reported per clinic incident policy.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7. Sign-Off &amp; Approval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risk assessment has been reviewed and approved by the undersigned. It shall be reviewed at least annually or following any significant incident, change in legislation, or operational modification.</w:t>
      </w:r>
    </w:p>
    <w:p>
      <w:pPr>
        <w:spacing w:after="100" w:before="100"/>
      </w:pP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9"/>
        <w:gridCol w:w="3670"/>
        <w:gridCol w:w="3670"/>
        <w:gridCol w:w="3669"/>
      </w:tblGrid>
      <w:tr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Assessor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[Insert Name]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Clinic Manager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[Insert Name]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Clinical Lead / Medical Director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[Insert Name]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0" w:before="200"/>
      </w:pPr>
    </w:p>
    <w:p>
      <w:pPr>
        <w:spacing w:after="0" w:before="100"/>
        <w:jc w:val="center"/>
      </w:pPr>
      <w:r>
        <w:rPr>
          <w:rFonts w:ascii="Arial" w:cs="Arial" w:eastAsia="Arial" w:hAnsi="Arial"/>
          <w:i/>
          <w:iCs/>
          <w:color w:val="D4AF37"/>
          <w:sz w:val="16"/>
          <w:szCs w:val="16"/>
        </w:rPr>
        <w:t xml:space="preserve">Barker Scott – Aesthetic Clinic Compliance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0B1D3A"/>
          <w:sz w:val="16"/>
          <w:szCs w:val="16"/>
        </w:rPr>
        <w:t xml:space="preserve">barker-scott.co.uk</w:t>
      </w:r>
    </w:p>
    <w:sectPr>
      <w:headerReference w:type="default" r:id="rId7"/>
      <w:footerReference w:type="default" r:id="rId8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4" w:space="1"/>
      </w:pBdr>
      <w:tabs>
        <w:tab w:val="right" w:pos="14678"/>
      </w:tabs>
      <w:spacing w:before="80"/>
    </w:pPr>
    <w:r>
      <w:rPr>
        <w:rFonts w:ascii="Arial" w:cs="Arial" w:eastAsia="Arial" w:hAnsi="Arial"/>
        <w:color w:val="0B1D3A"/>
        <w:sz w:val="16"/>
        <w:szCs w:val="16"/>
      </w:rPr>
      <w:t xml:space="preserve">BS-RA-002</w:t>
    </w:r>
    <w:r>
      <w:rPr>
        <w:rFonts w:ascii="Arial" w:cs="Arial" w:eastAsia="Arial" w:hAnsi="Arial"/>
        <w:sz w:val="16"/>
        <w:szCs w:val="16"/>
      </w:rPr>
      <w:t xml:space="preserve">		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left"/>
    </w:pPr>
    <w:r>
      <w:rPr>
        <w:rFonts w:ascii="Arial" w:cs="Arial" w:eastAsia="Arial" w:hAnsi="Arial"/>
        <w:b/>
        <w:bCs/>
        <w:color w:val="0B1D3A"/>
        <w:sz w:val="28"/>
        <w:szCs w:val="28"/>
      </w:rPr>
      <w:t xml:space="preserve">BARKER SCOTT</w:t>
    </w:r>
    <w:r>
      <w:rPr>
        <w:rFonts w:ascii="Arial" w:cs="Arial" w:eastAsia="Arial" w:hAnsi="Arial"/>
        <w:color w:val="D4AF37"/>
        <w:sz w:val="20"/>
        <w:szCs w:val="20"/>
      </w:rPr>
      <w:t xml:space="preserve">  |  </w:t>
    </w:r>
    <w:r>
      <w:rPr>
        <w:rFonts w:ascii="Arial" w:cs="Arial" w:eastAsia="Arial" w:hAnsi="Arial"/>
        <w:i/>
        <w:iCs/>
        <w:color w:val="D4AF37"/>
        <w:sz w:val="20"/>
        <w:szCs w:val="20"/>
      </w:rPr>
      <w:t xml:space="preserve">Aesthetic Clinic Risk Assessment</w:t>
    </w:r>
  </w:p>
  <w:p>
    <w:pPr>
      <w:pBdr>
        <w:bottom w:val="single" w:color="D4AF37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2026-05-15T09:38:41.318Z</dcterms:created>
  <dcterms:modified xsi:type="dcterms:W3CDTF">2026-05-15T09:38:41.318Z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