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CLINIC INFECTION PREVENTION &amp; CONTROL (IPC)</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BS-RA-009</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Clinic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infection prevention and control across all areas of the aesthetic clinic, protecting patients, practitioners, staff and visitors from healthcare-associated infections (HCAIs).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all infection prevention and control measures including hand hygiene, environmental cleaning, clinical waste management, decontamination of reusable equipment, laundry management, and outbreak management. It applies to all clinical and non-clinical staff, contractors, and visitors.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Safety at Work etc. Act 1974 – Sections 2, 3 &amp; 4</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Control of Substances Hazardous to Health Regulations 2002 (COSHH) (SI 2002/2677)</w:t>
      </w:r>
    </w:p>
    <w:p>
      <w:pPr>
        <w:spacing w:after="60" w:before="60"/>
      </w:pPr>
      <w:r>
        <w:rPr>
          <w:rFonts w:ascii="Arial" w:cs="Arial" w:eastAsia="Arial" w:hAnsi="Arial"/>
          <w:color w:val="333333"/>
          <w:sz w:val="20"/>
          <w:szCs w:val="20"/>
        </w:rPr>
        <w:t xml:space="preserve">•  Health and Social Care Act 2008 (Regulated Activities) Regulations 2014 – Regulation 12 (Safe Care &amp; Treatment) &amp; Regulation 15 (Premises &amp; Equipment)</w:t>
      </w:r>
    </w:p>
    <w:p>
      <w:pPr>
        <w:spacing w:after="60" w:before="60"/>
      </w:pPr>
      <w:r>
        <w:rPr>
          <w:rFonts w:ascii="Arial" w:cs="Arial" w:eastAsia="Arial" w:hAnsi="Arial"/>
          <w:color w:val="333333"/>
          <w:sz w:val="20"/>
          <w:szCs w:val="20"/>
        </w:rPr>
        <w:t xml:space="preserve">•  The Health Protection (Notification) Regulations 2010 (SI 2010/659)</w:t>
      </w:r>
    </w:p>
    <w:p>
      <w:pPr>
        <w:spacing w:after="60" w:before="60"/>
      </w:pPr>
      <w:r>
        <w:rPr>
          <w:rFonts w:ascii="Arial" w:cs="Arial" w:eastAsia="Arial" w:hAnsi="Arial"/>
          <w:color w:val="333333"/>
          <w:sz w:val="20"/>
          <w:szCs w:val="20"/>
        </w:rPr>
        <w:t xml:space="preserve">•  Hazardous Waste (England and Wales) Regulations 2005 (SI 2005/894)</w:t>
      </w:r>
    </w:p>
    <w:p>
      <w:pPr>
        <w:spacing w:after="60" w:before="60"/>
      </w:pPr>
      <w:r>
        <w:rPr>
          <w:rFonts w:ascii="Arial" w:cs="Arial" w:eastAsia="Arial" w:hAnsi="Arial"/>
          <w:color w:val="333333"/>
          <w:sz w:val="20"/>
          <w:szCs w:val="20"/>
        </w:rPr>
        <w:t xml:space="preserve">•  Environmental Protection Act 1990 – Duty of Care (Section 34)</w:t>
      </w:r>
    </w:p>
    <w:p>
      <w:pPr>
        <w:spacing w:after="60" w:before="60"/>
      </w:pPr>
      <w:r>
        <w:rPr>
          <w:rFonts w:ascii="Arial" w:cs="Arial" w:eastAsia="Arial" w:hAnsi="Arial"/>
          <w:color w:val="333333"/>
          <w:sz w:val="20"/>
          <w:szCs w:val="20"/>
        </w:rPr>
        <w:t xml:space="preserve">•  The Controlled Waste (England and Wales) Regulations 2012 (SI 2012/811)</w:t>
      </w:r>
    </w:p>
    <w:p>
      <w:pPr>
        <w:spacing w:after="60" w:before="60"/>
      </w:pPr>
      <w:r>
        <w:rPr>
          <w:rFonts w:ascii="Arial" w:cs="Arial" w:eastAsia="Arial" w:hAnsi="Arial"/>
          <w:color w:val="333333"/>
          <w:sz w:val="20"/>
          <w:szCs w:val="20"/>
        </w:rPr>
        <w:t xml:space="preserve">•  Personal Protective Equipment at Work Regulations 1992 (SI 1992/2966)</w:t>
      </w:r>
    </w:p>
    <w:p>
      <w:pPr>
        <w:spacing w:after="60" w:before="60"/>
      </w:pPr>
      <w:r>
        <w:rPr>
          <w:rFonts w:ascii="Arial" w:cs="Arial" w:eastAsia="Arial" w:hAnsi="Arial"/>
          <w:color w:val="333333"/>
          <w:sz w:val="20"/>
          <w:szCs w:val="20"/>
        </w:rPr>
        <w:t xml:space="preserve">•  NHS England National Infection Prevention and Control Manual (NIPCM) 2024 (best practice guidance)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Poor hand hygiene compliance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 Staff, Visitors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Alcohol-based hand rub (ABHR) at point of care; sinks with elbow-operated taps; WHO 5 Moments posters displayed; bare below the elbows policy</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Monthly hand hygiene audit; compliance dashboard displayed; annual training; hand hygiene champions appointed</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12</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Contaminated treatment environment</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Documented cleaning schedule; approved disinfectant (BS EN 14476 / EN 13727 compliant); clean between patients; daily deep clean</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Environmental audit quarterly; ATP bioluminescence testing; cleaning validation log; colour-coded cleaning equipment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Incorrect clinical waste segregation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Staff, Public, Environment</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Colour-coded waste streams (yellow sharps, orange clinical, black domestic); waste management training at induction; licensed waste contractor</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Waste audit quarterly; consignment note review; waste management SOP reviewed annually; spill management training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Reusable equipment inadequately decontaminated</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Manufacturer decontamination instructions followed; single-use items preferred; validated cleaning/disinfection process for reusables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Decontamination log per item; traceability system; periodic process validation; staff competency assessment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Bloodborne virus (BBV) exposure incident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Staff, 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Safety-engineered sharps; PEP protocol; Hep B vaccination programme; immediate incident reporting</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BBV exposure pathway poster in each treatment room; occupational health referral; 6-month follow-up testing; root cause analysis</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Outbreak of communicable disease (e.g., COVID-19, Norovirus)</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All persons on premises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Staff sickness policy (exclusion periods per PHE/UKHSA guidance); ventilation assessment; respiratory hygiene signage; cleaning escalation protocol</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Outbreak management plan; PHE/UKHSA notification procedure; temporary clinic closure protocol; PPE stockpile (4 weeks supply)</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Contaminated linen / laundry</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Staff, 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Single-use couch roll preferred; reusable linen laundered at ≥60°C; alginate bags for infected linen; laundry handled with gloves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Laundry SOP; external laundry service audit; staff training on linen handling; linen stock rotation</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Water system contamination (Legionella)</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All persons on premises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Legionella risk assessment completed; water temperature monitoring (hot &gt;50°C, cold &lt;20°C); infrequently used outlets flushed weekly</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Annual Legionella risk assessment review; water testing programme; responsible person appointed; remediation plan if positive</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Infection prevention and control is a fundamental standard of care under CQC Regulation 12. The clinic must appoint a designated IPC lead who is responsible for policy implementation, staff training, audit, and incident reporting. IPC policies must be reviewed at least annually or following any significant incident or change in national guidance. All staff must complete IPC training at induction and annually thereafter. The clinic must maintain a registered waste carrier and hold valid waste transfer notes/consignment notes.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Medical Director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Aesthetic Clinic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BS-RA-009</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Aesthetic Clinic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2026-05-15T09:38:41.807Z</dcterms:created>
  <dcterms:modified xsi:type="dcterms:W3CDTF">2026-05-15T09:38:41.807Z</dcterms:modified>
</cp:coreProperties>
</file>

<file path=docProps/custom.xml><?xml version="1.0" encoding="utf-8"?>
<Properties xmlns="http://schemas.openxmlformats.org/officeDocument/2006/custom-properties" xmlns:vt="http://schemas.openxmlformats.org/officeDocument/2006/docPropsVTypes"/>
</file>