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0B1D3A"/>
          <w:sz w:val="36"/>
          <w:szCs w:val="36"/>
        </w:rPr>
        <w:t xml:space="preserve">RISK ASSESSMENT</w:t>
      </w:r>
    </w:p>
    <w:p>
      <w:pPr>
        <w:spacing w:after="60" w:before="0"/>
        <w:jc w:val="center"/>
      </w:pPr>
      <w:r>
        <w:rPr>
          <w:rFonts w:ascii="Arial" w:cs="Arial" w:eastAsia="Arial" w:hAnsi="Arial"/>
          <w:b/>
          <w:bCs/>
          <w:color w:val="D4AF37"/>
          <w:sz w:val="28"/>
          <w:szCs w:val="28"/>
        </w:rPr>
        <w:t xml:space="preserve">LASER &amp; INTENSE PULSED LIGHT (IPL) TREATMENTS</w:t>
      </w:r>
    </w:p>
    <w:p>
      <w:pPr>
        <w:pBdr>
          <w:bottom w:val="single" w:color="D4AF37" w:sz="6" w:space="1"/>
        </w:pBdr>
        <w:spacing w:after="200" w:before="200"/>
      </w:pPr>
    </w:p>
    <w:p>
      <w:pPr>
        <w:spacing w:after="60" w:before="60"/>
      </w:pPr>
      <w:r>
        <w:rPr>
          <w:rFonts w:ascii="Arial" w:cs="Arial" w:eastAsia="Arial" w:hAnsi="Arial"/>
          <w:b/>
          <w:bCs/>
          <w:color w:val="0B1D3A"/>
          <w:sz w:val="20"/>
          <w:szCs w:val="20"/>
        </w:rPr>
        <w:t xml:space="preserve">Document Reference: </w:t>
      </w:r>
      <w:r>
        <w:rPr>
          <w:rFonts w:ascii="Arial" w:cs="Arial" w:eastAsia="Arial" w:hAnsi="Arial"/>
          <w:color w:val="333333"/>
          <w:sz w:val="20"/>
          <w:szCs w:val="20"/>
        </w:rPr>
        <w:t xml:space="preserve">BS-RA-004</w:t>
      </w:r>
    </w:p>
    <w:p>
      <w:pPr>
        <w:spacing w:after="60" w:before="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before="60"/>
      </w:pPr>
      <w:r>
        <w:rPr>
          <w:rFonts w:ascii="Arial" w:cs="Arial" w:eastAsia="Arial" w:hAnsi="Arial"/>
          <w:b/>
          <w:bCs/>
          <w:color w:val="0B1D3A"/>
          <w:sz w:val="20"/>
          <w:szCs w:val="20"/>
        </w:rPr>
        <w:t xml:space="preserve">Location: </w:t>
      </w:r>
      <w:r>
        <w:rPr>
          <w:rFonts w:ascii="Arial" w:cs="Arial" w:eastAsia="Arial" w:hAnsi="Arial"/>
          <w:color w:val="333333"/>
          <w:sz w:val="20"/>
          <w:szCs w:val="20"/>
        </w:rPr>
        <w:t xml:space="preserve">[Insert Clinic Name &amp; Address]</w:t>
      </w:r>
    </w:p>
    <w:p>
      <w:pPr>
        <w:spacing w:after="60" w:before="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60" w:before="60"/>
      </w:pPr>
      <w:r>
        <w:rPr>
          <w:rFonts w:ascii="Arial" w:cs="Arial" w:eastAsia="Arial" w:hAnsi="Arial"/>
          <w:color w:val="333333"/>
          <w:sz w:val="20"/>
          <w:szCs w:val="20"/>
        </w:rPr>
        <w:t xml:space="preserve">To identify, evaluate and mitigate risks associated with the use of laser and IPL devices for aesthetic treatments, ensuring the safety of patients, practitioners, and all persons within the treatment environment.</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60" w:before="60"/>
      </w:pPr>
      <w:r>
        <w:rPr>
          <w:rFonts w:ascii="Arial" w:cs="Arial" w:eastAsia="Arial" w:hAnsi="Arial"/>
          <w:color w:val="333333"/>
          <w:sz w:val="20"/>
          <w:szCs w:val="20"/>
        </w:rPr>
        <w:t xml:space="preserve">This assessment covers all laser and IPL procedures including hair removal, skin rejuvenation, pigmentation treatment, vascular lesion treatment, tattoo removal, and fractional resurfacing. It applies to all laser operators, clinical staff, and any person entering the controlled area.</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Legal &amp; Regulatory Framework</w:t>
      </w:r>
    </w:p>
    <w:p>
      <w:pPr>
        <w:spacing w:after="60" w:before="60"/>
      </w:pPr>
      <w:r>
        <w:rPr>
          <w:rFonts w:ascii="Arial" w:cs="Arial" w:eastAsia="Arial" w:hAnsi="Arial"/>
          <w:color w:val="333333"/>
          <w:sz w:val="20"/>
          <w:szCs w:val="20"/>
        </w:rPr>
        <w:t xml:space="preserve">•  Health and Safety at Work etc. Act 1974 – Sections 2, 3 &amp; 4</w:t>
      </w:r>
    </w:p>
    <w:p>
      <w:pPr>
        <w:spacing w:after="60" w:before="60"/>
      </w:pPr>
      <w:r>
        <w:rPr>
          <w:rFonts w:ascii="Arial" w:cs="Arial" w:eastAsia="Arial" w:hAnsi="Arial"/>
          <w:color w:val="333333"/>
          <w:sz w:val="20"/>
          <w:szCs w:val="20"/>
        </w:rPr>
        <w:t xml:space="preserve">•  The Management of Health and Safety at Work Regulations 1999 (SI 1999/3242)</w:t>
      </w:r>
    </w:p>
    <w:p>
      <w:pPr>
        <w:spacing w:after="60" w:before="60"/>
      </w:pPr>
      <w:r>
        <w:rPr>
          <w:rFonts w:ascii="Arial" w:cs="Arial" w:eastAsia="Arial" w:hAnsi="Arial"/>
          <w:color w:val="333333"/>
          <w:sz w:val="20"/>
          <w:szCs w:val="20"/>
        </w:rPr>
        <w:t xml:space="preserve">•  The Provision and Use of Work Equipment Regulations 1998 (PUWER) (SI 1998/2306)</w:t>
      </w:r>
    </w:p>
    <w:p>
      <w:pPr>
        <w:spacing w:after="60" w:before="60"/>
      </w:pPr>
      <w:r>
        <w:rPr>
          <w:rFonts w:ascii="Arial" w:cs="Arial" w:eastAsia="Arial" w:hAnsi="Arial"/>
          <w:color w:val="333333"/>
          <w:sz w:val="20"/>
          <w:szCs w:val="20"/>
        </w:rPr>
        <w:t xml:space="preserve">•  Control of Artificial Optical Radiation at Work Regulations 2010 (SI 2010/1140)</w:t>
      </w:r>
    </w:p>
    <w:p>
      <w:pPr>
        <w:spacing w:after="60" w:before="60"/>
      </w:pPr>
      <w:r>
        <w:rPr>
          <w:rFonts w:ascii="Arial" w:cs="Arial" w:eastAsia="Arial" w:hAnsi="Arial"/>
          <w:color w:val="333333"/>
          <w:sz w:val="20"/>
          <w:szCs w:val="20"/>
        </w:rPr>
        <w:t xml:space="preserve">•  Electricity at Work Regulations 1989 (SI 1989/635)</w:t>
      </w:r>
    </w:p>
    <w:p>
      <w:pPr>
        <w:spacing w:after="60" w:before="60"/>
      </w:pPr>
      <w:r>
        <w:rPr>
          <w:rFonts w:ascii="Arial" w:cs="Arial" w:eastAsia="Arial" w:hAnsi="Arial"/>
          <w:color w:val="333333"/>
          <w:sz w:val="20"/>
          <w:szCs w:val="20"/>
        </w:rPr>
        <w:t xml:space="preserve">•  BS EN 60825-1:2014 – Safety of Laser Products</w:t>
      </w:r>
    </w:p>
    <w:p>
      <w:pPr>
        <w:spacing w:after="60" w:before="60"/>
      </w:pPr>
      <w:r>
        <w:rPr>
          <w:rFonts w:ascii="Arial" w:cs="Arial" w:eastAsia="Arial" w:hAnsi="Arial"/>
          <w:color w:val="333333"/>
          <w:sz w:val="20"/>
          <w:szCs w:val="20"/>
        </w:rPr>
        <w:t xml:space="preserve">•  Local Authority Licensing (Special Treatments) – applicable council bylaws</w:t>
      </w:r>
    </w:p>
    <w:p>
      <w:pPr>
        <w:spacing w:after="60" w:before="60"/>
      </w:pPr>
      <w:r>
        <w:rPr>
          <w:rFonts w:ascii="Arial" w:cs="Arial" w:eastAsia="Arial" w:hAnsi="Arial"/>
          <w:color w:val="333333"/>
          <w:sz w:val="20"/>
          <w:szCs w:val="20"/>
        </w:rPr>
        <w:t xml:space="preserve">•  PHE/UKHSA Guidance: Lasers, Intense Light Sources and LEDs (2022)</w:t>
      </w:r>
    </w:p>
    <w:p>
      <w:pPr>
        <w:spacing w:after="60" w:before="60"/>
      </w:pPr>
      <w:r>
        <w:rPr>
          <w:rFonts w:ascii="Arial" w:cs="Arial" w:eastAsia="Arial" w:hAnsi="Arial"/>
          <w:color w:val="333333"/>
          <w:sz w:val="20"/>
          <w:szCs w:val="20"/>
        </w:rPr>
        <w:t xml:space="preserve">•  CQC Guidance on the use of lasers and IPL in the independent healthcare sector</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Rating Matrix</w:t>
      </w:r>
    </w:p>
    <w:p>
      <w:pPr>
        <w:spacing w:after="60" w:before="60"/>
      </w:pPr>
      <w:r>
        <w:rPr>
          <w:rFonts w:ascii="Arial" w:cs="Arial" w:eastAsia="Arial" w:hAnsi="Arial"/>
          <w:color w:val="333333"/>
          <w:sz w:val="20"/>
          <w:szCs w:val="20"/>
        </w:rPr>
        <w:t xml:space="preserve">Risk is calculated as Likelihood (L) × Severity (S). The following colour-coded matrix defines action thresholds: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5078"/>
      </w:tblGrid>
      <w:tr>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Likelihood (L)</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 (S)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 (L×S)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Level</w:t>
            </w:r>
          </w:p>
        </w:tc>
        <w:tc>
          <w:tcPr>
            <w:tcW w:type="dxa" w:w="50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Required</w:t>
            </w:r>
          </w:p>
        </w:tc>
      </w:tr>
      <w:tr>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1–4</w:t>
            </w:r>
          </w:p>
        </w:tc>
        <w:tc>
          <w:tcPr>
            <w:tcW w:type="dxa" w:w="2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5078"/>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Monitor – no immediate action</w:t>
            </w:r>
          </w:p>
        </w:tc>
      </w:tr>
      <w:tr>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5–12</w:t>
            </w:r>
          </w:p>
        </w:tc>
        <w:tc>
          <w:tcPr>
            <w:tcW w:type="dxa" w:w="2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5078"/>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Controls required; review quarterly</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13–25</w:t>
            </w:r>
          </w:p>
        </w:tc>
        <w:tc>
          <w:tcPr>
            <w:tcW w:type="dxa" w:w="2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5078"/>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Immediate action; cease activity until controlled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Hazard Identification &amp; Control Measures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3200"/>
        <w:gridCol w:w="800"/>
        <w:gridCol w:w="800"/>
        <w:gridCol w:w="900"/>
        <w:gridCol w:w="1578"/>
      </w:tblGrid>
      <w:tr>
        <w:tc>
          <w:tcPr>
            <w:tcW w:type="dxa" w:w="2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Hazard</w:t>
            </w:r>
          </w:p>
        </w:tc>
        <w:tc>
          <w:tcPr>
            <w:tcW w:type="dxa" w:w="20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Who Is at Risk</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Existing Controls</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Additional Controls</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w:t>
            </w:r>
          </w:p>
        </w:tc>
        <w:tc>
          <w:tcPr>
            <w:tcW w:type="dxa" w:w="9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Rating</w:t>
            </w:r>
          </w:p>
        </w:tc>
        <w:tc>
          <w:tcPr>
            <w:tcW w:type="dxa" w:w="1578"/>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Burn / thermal injury to skin</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Fitzpatrick skin typing; test patch 48–72 hours prior; calibrated parameters per skin type; trained Core of Knowledge (CoK) certified operator</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Burn management protocol; cooling gel/cold compress available; referral pathway to burns/dermatology</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Eye injury (corneal / retinal damage)</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 Practitioners, Staff</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Wavelength-specific CE-marked protective eyewear for all persons in room; intra-oral eye shields for facial treatments; controlled area signage; door interlock</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Annual eyewear audit (OD verification); spare goggles accessible; incident reporting protocol</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5</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10</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Fire / ignition of materials</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All persons in treatment area</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Removal of flammable materials; no alcohol-based products on skin during treatment; fire extinguisher (CO2) in treatment room; fire risk assessment</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Fire drill including laser suite scenario; non-flammable drapes only; staff fire warden training</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5</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5</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Post-inflammatory hyperpigmentation / hypopigmentation</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Fitzpatrick assessment; conservative parameter selection for darker skin types; pre-treatment consultation with photographic record</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Informed consent addressing pigmentation risk; post-treatment SPF protocol; follow-up at 4–6 weeks</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9</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Laser plume / smoke inhalation</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Practitioners, Staff</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Smoke extraction unit (LEV) operational during all ablative procedures; FFP2/FFP3 mask for operator; room ventilation</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Annual LEV test (LOLER compliance); mask fit testing; COSHH assessment for plume exposure</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Electrical hazard / device malfunction</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Practitioners, Staff</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Annual PAT testing; manufacturer service schedule; pre-use equipment checklist; RCD protection on mains supply</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Fault log maintained; backup device available; operator trained in emergency shutdown</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1</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4</w:t>
            </w:r>
          </w:p>
        </w:tc>
        <w:tc>
          <w:tcPr>
            <w:tcW w:type="dxa" w:w="1578"/>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Treatment of contraindicated patient</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Comprehensive medical history questionnaire; contraindication checklist (pregnancy, photosensitising drugs, active skin conditions); GP liaison if uncertain</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Contraindication protocol reviewed annually; practitioner decision support tool; medical director escalation</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Incorrect device settings / operator error</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Core of Knowledge (CoK) certification for all operators; manufacturer-specific device training; parameter log per treatment</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Two-person verification for Class 4 lasers; annual competency reassessment; clinical governance audit</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Additional Notes</w:t>
      </w:r>
    </w:p>
    <w:p>
      <w:pPr>
        <w:spacing w:after="60" w:before="60"/>
      </w:pPr>
      <w:r>
        <w:rPr>
          <w:rFonts w:ascii="Arial" w:cs="Arial" w:eastAsia="Arial" w:hAnsi="Arial"/>
          <w:color w:val="333333"/>
          <w:sz w:val="20"/>
          <w:szCs w:val="20"/>
        </w:rPr>
        <w:t xml:space="preserve">All laser and IPL devices must be registered with the local authority where required. A Laser Protection Adviser (LPA) should be appointed to advise on safety measures for Class 3B and Class 4 laser systems. A designated Laser Protection Supervisor (LPS) must be present during all laser operations. Local rules must be documented and displayed in the treatment room. The clinic must hold appropriate insurance covering laser/IPL treatments.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 &amp; Approval</w:t>
      </w:r>
    </w:p>
    <w:p>
      <w:pPr>
        <w:spacing w:after="60" w:before="60"/>
      </w:pPr>
      <w:r>
        <w:rPr>
          <w:rFonts w:ascii="Arial" w:cs="Arial" w:eastAsia="Arial" w:hAnsi="Arial"/>
          <w:color w:val="333333"/>
          <w:sz w:val="20"/>
          <w:szCs w:val="20"/>
        </w:rPr>
        <w:t xml:space="preserve">This risk assessment has been reviewed and approved by the undersigned. It shall be reviewed at least annually or following any significant incident, change in legislation, or operational modification.</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70"/>
        <w:gridCol w:w="3670"/>
        <w:gridCol w:w="3669"/>
      </w:tblGrid>
      <w:tr>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Assessor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 Manager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Medical Director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200"/>
      </w:pPr>
    </w:p>
    <w:p>
      <w:pPr>
        <w:spacing w:after="0" w:before="100"/>
        <w:jc w:val="center"/>
      </w:pPr>
      <w:r>
        <w:rPr>
          <w:rFonts w:ascii="Arial" w:cs="Arial" w:eastAsia="Arial" w:hAnsi="Arial"/>
          <w:i/>
          <w:iCs/>
          <w:color w:val="D4AF37"/>
          <w:sz w:val="16"/>
          <w:szCs w:val="16"/>
        </w:rPr>
        <w:t xml:space="preserve">Barker Scott – Aesthetic Clinic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14678"/>
      </w:tabs>
      <w:spacing w:before="80"/>
    </w:pPr>
    <w:r>
      <w:rPr>
        <w:rFonts w:ascii="Arial" w:cs="Arial" w:eastAsia="Arial" w:hAnsi="Arial"/>
        <w:color w:val="0B1D3A"/>
        <w:sz w:val="16"/>
        <w:szCs w:val="16"/>
      </w:rPr>
      <w:t xml:space="preserve">BS-RA-004</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i/>
        <w:iCs/>
        <w:color w:val="D4AF37"/>
        <w:sz w:val="20"/>
        <w:szCs w:val="20"/>
      </w:rPr>
      <w:t xml:space="preserve">Aesthetic Clinic Risk Assessment</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2026-05-15T09:38:41.497Z</dcterms:created>
  <dcterms:modified xsi:type="dcterms:W3CDTF">2026-05-15T09:38:41.497Z</dcterms:modified>
</cp:coreProperties>
</file>

<file path=docProps/custom.xml><?xml version="1.0" encoding="utf-8"?>
<Properties xmlns="http://schemas.openxmlformats.org/officeDocument/2006/custom-properties" xmlns:vt="http://schemas.openxmlformats.org/officeDocument/2006/docPropsVTypes"/>
</file>