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MICRONEEDLING / COLLAGEN INDUCTION THERAPY</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BS-RA-005</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Clinic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microneedling procedures (manual dermaroller and automated devices such as Dermapen) within the aesthetic clinic, ensuring patient and staff safety.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all microneedling treatments for skin rejuvenation, scar revision, stretch mark treatment, hair restoration, and transdermal delivery of active serums. It applies to all practitioners, clinical assistants, and support staff.</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Health and Safety at Work etc. Act 1974 – Sections 2 &amp; 3</w:t>
      </w:r>
    </w:p>
    <w:p>
      <w:pPr>
        <w:spacing w:after="60" w:before="60"/>
      </w:pPr>
      <w:r>
        <w:rPr>
          <w:rFonts w:ascii="Arial" w:cs="Arial" w:eastAsia="Arial" w:hAnsi="Arial"/>
          <w:color w:val="333333"/>
          <w:sz w:val="20"/>
          <w:szCs w:val="20"/>
        </w:rPr>
        <w:t xml:space="preserve">•  The Management of Health and Safety at Work Regulations 1999 (SI 1999/3242)</w:t>
      </w:r>
    </w:p>
    <w:p>
      <w:pPr>
        <w:spacing w:after="60" w:before="60"/>
      </w:pPr>
      <w:r>
        <w:rPr>
          <w:rFonts w:ascii="Arial" w:cs="Arial" w:eastAsia="Arial" w:hAnsi="Arial"/>
          <w:color w:val="333333"/>
          <w:sz w:val="20"/>
          <w:szCs w:val="20"/>
        </w:rPr>
        <w:t xml:space="preserve">•  Control of Substances Hazardous to Health Regulations 2002 (COSHH) (SI 2002/2677)</w:t>
      </w:r>
    </w:p>
    <w:p>
      <w:pPr>
        <w:spacing w:after="60" w:before="60"/>
      </w:pPr>
      <w:r>
        <w:rPr>
          <w:rFonts w:ascii="Arial" w:cs="Arial" w:eastAsia="Arial" w:hAnsi="Arial"/>
          <w:color w:val="333333"/>
          <w:sz w:val="20"/>
          <w:szCs w:val="20"/>
        </w:rPr>
        <w:t xml:space="preserve">•  Health and Social Care Act 2008 (Regulated Activities) Regulations 2014 – Regulation 12</w:t>
      </w:r>
    </w:p>
    <w:p>
      <w:pPr>
        <w:spacing w:after="60" w:before="60"/>
      </w:pPr>
      <w:r>
        <w:rPr>
          <w:rFonts w:ascii="Arial" w:cs="Arial" w:eastAsia="Arial" w:hAnsi="Arial"/>
          <w:color w:val="333333"/>
          <w:sz w:val="20"/>
          <w:szCs w:val="20"/>
        </w:rPr>
        <w:t xml:space="preserve">•  The Cosmetic Products Enforcement Regulations 2013 (SI 2013/1478)</w:t>
      </w:r>
    </w:p>
    <w:p>
      <w:pPr>
        <w:spacing w:after="60" w:before="60"/>
      </w:pPr>
      <w:r>
        <w:rPr>
          <w:rFonts w:ascii="Arial" w:cs="Arial" w:eastAsia="Arial" w:hAnsi="Arial"/>
          <w:color w:val="333333"/>
          <w:sz w:val="20"/>
          <w:szCs w:val="20"/>
        </w:rPr>
        <w:t xml:space="preserve">•  Personal Protective Equipment at Work Regulations 1992 (SI 1992/2966)</w:t>
      </w:r>
    </w:p>
    <w:p>
      <w:pPr>
        <w:spacing w:after="60" w:before="60"/>
      </w:pPr>
      <w:r>
        <w:rPr>
          <w:rFonts w:ascii="Arial" w:cs="Arial" w:eastAsia="Arial" w:hAnsi="Arial"/>
          <w:color w:val="333333"/>
          <w:sz w:val="20"/>
          <w:szCs w:val="20"/>
        </w:rPr>
        <w:t xml:space="preserve">•  The Health Protection (Notification) Regulations 2010 (SI 2010/659) – bloodborne virus exposure</w:t>
      </w:r>
    </w:p>
    <w:p>
      <w:pPr>
        <w:spacing w:after="60" w:before="60"/>
      </w:pPr>
      <w:r>
        <w:rPr>
          <w:rFonts w:ascii="Arial" w:cs="Arial" w:eastAsia="Arial" w:hAnsi="Arial"/>
          <w:color w:val="333333"/>
          <w:sz w:val="20"/>
          <w:szCs w:val="20"/>
        </w:rPr>
        <w:t xml:space="preserve">•  Local Authority Special Treatments Licensing (where applicable)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Bloodborne pathogen exposure (HIV, Hep B/C)</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Practitioners, 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Single-use sterile needle cartridges; never shared between patients; practitioner Hep B vaccinated; full PPE (gloves, visor/goggles, apron)</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Post-exposure prophylaxis (PEP) protocol; sharps injury pathway; annual BBV training; Hep B antibody titre check</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10</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Infection / cellulitis / abscess</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Aseptic non-touch technique; single-use consumables; skin cleansed with chlorhexidine pre-treatment; sterile serums only</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Post-treatment infection protocol; antibiotic prescribing pathway; follow-up at 48 hours; wound care leaflet</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Post-inflammatory hyperpigmentation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Fitzpatrick skin typing; conservative needle depth for darker skin tones; pre-treatment skin preparation programme</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Informed consent addressing PIH risk; SPF 50 aftercare; avoid treatment in summer for high-risk patients</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Scarring / granuloma formation</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Appropriate needle depth per treatment area; avoid active acne/keloid-prone areas; trained practitioner with device-specific certification</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Scar management protocol; referral to dermatologist; complication log; annual competency review</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Adverse reaction to topical serum</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Patch test 48 hours prior; full ingredient disclosure; use of CE-marked/registered serums; COSHH assessment for each product</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Serum ingredient database maintained; alternative hypoallergenic option available; incident reporting</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Sharps injury during or after procedure</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Practitioners,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Safety-engineered devices; sharps bin within arm’s reach; no re-sheathing of needles; practitioner training in safe handling</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Needlestick protocol; immediate PEP access; incident log and root cause analysis</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Treatment of contraindicated patient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Detailed medical questionnaire; contraindication checklist (blood thinners, active infection, immunosuppression, pregnancy, isotretinoin use)</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Decision support tool for practitioners; GP liaison pathway; annual protocol review</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Cross-contamination of treatment area</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Single-use drapes and consumables; treatment bed cleaned between patients; hand hygiene protocol; device handle wiped with approved disinfectant</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IPC audit quarterly; environmental swab testing; cleaning schedule documented and signed</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Microneedling to a depth of ≥0.5mm is considered a medical procedure and should only be performed by appropriately trained and qualified practitioners. All needle cartridges must be single-use, CE-marked and disposed of in a yellow sharps bin. Topical anaesthetic creams (e.g., EMLA) used prior to microneedling may be prescription-only and must be administered per clinic protocol. Detailed records including needle depth, serum used, and batch numbers must be maintained per patient.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Medical Director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Aesthetic Clinic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BS-RA-005</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Aesthetic Clinic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2026-05-15T09:38:41.570Z</dcterms:created>
  <dcterms:modified xsi:type="dcterms:W3CDTF">2026-05-15T09:38:41.570Z</dcterms:modified>
</cp:coreProperties>
</file>

<file path=docProps/custom.xml><?xml version="1.0" encoding="utf-8"?>
<Properties xmlns="http://schemas.openxmlformats.org/officeDocument/2006/custom-properties" xmlns:vt="http://schemas.openxmlformats.org/officeDocument/2006/docPropsVTypes"/>
</file>