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0B1D3A"/>
          <w:sz w:val="36"/>
          <w:szCs w:val="36"/>
        </w:rPr>
        <w:t xml:space="preserve">RISK ASSESSMENT</w:t>
      </w:r>
    </w:p>
    <w:p>
      <w:pPr>
        <w:spacing w:after="60" w:before="0"/>
        <w:jc w:val="center"/>
      </w:pPr>
      <w:r>
        <w:rPr>
          <w:rFonts w:ascii="Arial" w:cs="Arial" w:eastAsia="Arial" w:hAnsi="Arial"/>
          <w:b/>
          <w:bCs/>
          <w:color w:val="D4AF37"/>
          <w:sz w:val="28"/>
          <w:szCs w:val="28"/>
        </w:rPr>
        <w:t xml:space="preserve">PLATELET-RICH PLASMA (PRP) THERAPY</w:t>
      </w:r>
    </w:p>
    <w:p>
      <w:pPr>
        <w:pBdr>
          <w:bottom w:val="single" w:color="D4AF37" w:sz="6" w:space="1"/>
        </w:pBdr>
        <w:spacing w:after="200" w:before="200"/>
      </w:pPr>
    </w:p>
    <w:p>
      <w:pPr>
        <w:spacing w:after="60" w:before="60"/>
      </w:pPr>
      <w:r>
        <w:rPr>
          <w:rFonts w:ascii="Arial" w:cs="Arial" w:eastAsia="Arial" w:hAnsi="Arial"/>
          <w:b/>
          <w:bCs/>
          <w:color w:val="0B1D3A"/>
          <w:sz w:val="20"/>
          <w:szCs w:val="20"/>
        </w:rPr>
        <w:t xml:space="preserve">Document Reference: </w:t>
      </w:r>
      <w:r>
        <w:rPr>
          <w:rFonts w:ascii="Arial" w:cs="Arial" w:eastAsia="Arial" w:hAnsi="Arial"/>
          <w:color w:val="333333"/>
          <w:sz w:val="20"/>
          <w:szCs w:val="20"/>
        </w:rPr>
        <w:t xml:space="preserve">BS-RA-006</w:t>
      </w:r>
    </w:p>
    <w:p>
      <w:pPr>
        <w:spacing w:after="60" w:before="60"/>
      </w:pPr>
      <w:r>
        <w:rPr>
          <w:rFonts w:ascii="Arial" w:cs="Arial" w:eastAsia="Arial" w:hAnsi="Arial"/>
          <w:b/>
          <w:bCs/>
          <w:color w:val="0B1D3A"/>
          <w:sz w:val="20"/>
          <w:szCs w:val="20"/>
        </w:rPr>
        <w:t xml:space="preserve">Assessment Date: </w:t>
      </w:r>
      <w:r>
        <w:rPr>
          <w:rFonts w:ascii="Arial" w:cs="Arial" w:eastAsia="Arial" w:hAnsi="Arial"/>
          <w:color w:val="333333"/>
          <w:sz w:val="20"/>
          <w:szCs w:val="20"/>
        </w:rPr>
        <w:t xml:space="preserve">[DD/MM/YYYY]</w:t>
      </w:r>
    </w:p>
    <w:p>
      <w:pPr>
        <w:spacing w:after="60" w:before="60"/>
      </w:pPr>
      <w:r>
        <w:rPr>
          <w:rFonts w:ascii="Arial" w:cs="Arial" w:eastAsia="Arial" w:hAnsi="Arial"/>
          <w:b/>
          <w:bCs/>
          <w:color w:val="0B1D3A"/>
          <w:sz w:val="20"/>
          <w:szCs w:val="20"/>
        </w:rPr>
        <w:t xml:space="preserve">Review Date: </w:t>
      </w:r>
      <w:r>
        <w:rPr>
          <w:rFonts w:ascii="Arial" w:cs="Arial" w:eastAsia="Arial" w:hAnsi="Arial"/>
          <w:color w:val="333333"/>
          <w:sz w:val="20"/>
          <w:szCs w:val="20"/>
        </w:rPr>
        <w:t xml:space="preserve">[DD/MM/YYYY]</w:t>
      </w:r>
    </w:p>
    <w:p>
      <w:pPr>
        <w:spacing w:after="60" w:before="60"/>
      </w:pPr>
      <w:r>
        <w:rPr>
          <w:rFonts w:ascii="Arial" w:cs="Arial" w:eastAsia="Arial" w:hAnsi="Arial"/>
          <w:b/>
          <w:bCs/>
          <w:color w:val="0B1D3A"/>
          <w:sz w:val="20"/>
          <w:szCs w:val="20"/>
        </w:rPr>
        <w:t xml:space="preserve">Assessor: </w:t>
      </w:r>
      <w:r>
        <w:rPr>
          <w:rFonts w:ascii="Arial" w:cs="Arial" w:eastAsia="Arial" w:hAnsi="Arial"/>
          <w:color w:val="333333"/>
          <w:sz w:val="20"/>
          <w:szCs w:val="20"/>
        </w:rPr>
        <w:t xml:space="preserve">[Insert Name]</w:t>
      </w:r>
    </w:p>
    <w:p>
      <w:pPr>
        <w:spacing w:after="60" w:before="60"/>
      </w:pPr>
      <w:r>
        <w:rPr>
          <w:rFonts w:ascii="Arial" w:cs="Arial" w:eastAsia="Arial" w:hAnsi="Arial"/>
          <w:b/>
          <w:bCs/>
          <w:color w:val="0B1D3A"/>
          <w:sz w:val="20"/>
          <w:szCs w:val="20"/>
        </w:rPr>
        <w:t xml:space="preserve">Location: </w:t>
      </w:r>
      <w:r>
        <w:rPr>
          <w:rFonts w:ascii="Arial" w:cs="Arial" w:eastAsia="Arial" w:hAnsi="Arial"/>
          <w:color w:val="333333"/>
          <w:sz w:val="20"/>
          <w:szCs w:val="20"/>
        </w:rPr>
        <w:t xml:space="preserve">[Insert Clinic Name &amp; Address]</w:t>
      </w:r>
    </w:p>
    <w:p>
      <w:pPr>
        <w:spacing w:after="60" w:before="60"/>
      </w:pPr>
      <w:r>
        <w:rPr>
          <w:rFonts w:ascii="Arial" w:cs="Arial" w:eastAsia="Arial" w:hAnsi="Arial"/>
          <w:b/>
          <w:bCs/>
          <w:color w:val="0B1D3A"/>
          <w:sz w:val="20"/>
          <w:szCs w:val="20"/>
        </w:rPr>
        <w:t xml:space="preserve">Version: </w:t>
      </w:r>
      <w:r>
        <w:rPr>
          <w:rFonts w:ascii="Arial" w:cs="Arial" w:eastAsia="Arial" w:hAnsi="Arial"/>
          <w:color w:val="333333"/>
          <w:sz w:val="20"/>
          <w:szCs w:val="20"/>
        </w:rPr>
        <w:t xml:space="preserve">1.0</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 Purpose</w:t>
      </w:r>
    </w:p>
    <w:p>
      <w:pPr>
        <w:spacing w:after="60" w:before="60"/>
      </w:pPr>
      <w:r>
        <w:rPr>
          <w:rFonts w:ascii="Arial" w:cs="Arial" w:eastAsia="Arial" w:hAnsi="Arial"/>
          <w:color w:val="333333"/>
          <w:sz w:val="20"/>
          <w:szCs w:val="20"/>
        </w:rPr>
        <w:t xml:space="preserve">To identify, evaluate and mitigate risks associated with the preparation and administration of autologous platelet-rich plasma (PRP) within the aesthetic clinic, ensuring the safety of patients, practitioners and laboratory/clinical staff.</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2. Scope</w:t>
      </w:r>
    </w:p>
    <w:p>
      <w:pPr>
        <w:spacing w:after="60" w:before="60"/>
      </w:pPr>
      <w:r>
        <w:rPr>
          <w:rFonts w:ascii="Arial" w:cs="Arial" w:eastAsia="Arial" w:hAnsi="Arial"/>
          <w:color w:val="333333"/>
          <w:sz w:val="20"/>
          <w:szCs w:val="20"/>
        </w:rPr>
        <w:t xml:space="preserve">This assessment covers PRP treatments for skin rejuvenation (vampire facial), hair restoration, scar treatment, and under-eye rejuvenation. It includes blood collection (venepuncture), centrifugation, preparation, and injection/microneedling delivery. It applies to all clinical practitioners, phlebotomists, and support staff.</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3. Legal &amp; Regulatory Framework</w:t>
      </w:r>
    </w:p>
    <w:p>
      <w:pPr>
        <w:spacing w:after="60" w:before="60"/>
      </w:pPr>
      <w:r>
        <w:rPr>
          <w:rFonts w:ascii="Arial" w:cs="Arial" w:eastAsia="Arial" w:hAnsi="Arial"/>
          <w:color w:val="333333"/>
          <w:sz w:val="20"/>
          <w:szCs w:val="20"/>
        </w:rPr>
        <w:t xml:space="preserve">•  Health and Safety at Work etc. Act 1974 – Sections 2 &amp; 3</w:t>
      </w:r>
    </w:p>
    <w:p>
      <w:pPr>
        <w:spacing w:after="60" w:before="60"/>
      </w:pPr>
      <w:r>
        <w:rPr>
          <w:rFonts w:ascii="Arial" w:cs="Arial" w:eastAsia="Arial" w:hAnsi="Arial"/>
          <w:color w:val="333333"/>
          <w:sz w:val="20"/>
          <w:szCs w:val="20"/>
        </w:rPr>
        <w:t xml:space="preserve">•  The Management of Health and Safety at Work Regulations 1999 (SI 1999/3242)</w:t>
      </w:r>
    </w:p>
    <w:p>
      <w:pPr>
        <w:spacing w:after="60" w:before="60"/>
      </w:pPr>
      <w:r>
        <w:rPr>
          <w:rFonts w:ascii="Arial" w:cs="Arial" w:eastAsia="Arial" w:hAnsi="Arial"/>
          <w:color w:val="333333"/>
          <w:sz w:val="20"/>
          <w:szCs w:val="20"/>
        </w:rPr>
        <w:t xml:space="preserve">•  Control of Substances Hazardous to Health Regulations 2002 (COSHH) (SI 2002/2677)</w:t>
      </w:r>
    </w:p>
    <w:p>
      <w:pPr>
        <w:spacing w:after="60" w:before="60"/>
      </w:pPr>
      <w:r>
        <w:rPr>
          <w:rFonts w:ascii="Arial" w:cs="Arial" w:eastAsia="Arial" w:hAnsi="Arial"/>
          <w:color w:val="333333"/>
          <w:sz w:val="20"/>
          <w:szCs w:val="20"/>
        </w:rPr>
        <w:t xml:space="preserve">•  The Health and Safety (Sharp Instruments in Healthcare) Regulations 2013 (SI 2013/645)</w:t>
      </w:r>
    </w:p>
    <w:p>
      <w:pPr>
        <w:spacing w:after="60" w:before="60"/>
      </w:pPr>
      <w:r>
        <w:rPr>
          <w:rFonts w:ascii="Arial" w:cs="Arial" w:eastAsia="Arial" w:hAnsi="Arial"/>
          <w:color w:val="333333"/>
          <w:sz w:val="20"/>
          <w:szCs w:val="20"/>
        </w:rPr>
        <w:t xml:space="preserve">•  The Blood Safety and Quality Regulations 2005 (SI 2005/50) – where applicable</w:t>
      </w:r>
    </w:p>
    <w:p>
      <w:pPr>
        <w:spacing w:after="60" w:before="60"/>
      </w:pPr>
      <w:r>
        <w:rPr>
          <w:rFonts w:ascii="Arial" w:cs="Arial" w:eastAsia="Arial" w:hAnsi="Arial"/>
          <w:color w:val="333333"/>
          <w:sz w:val="20"/>
          <w:szCs w:val="20"/>
        </w:rPr>
        <w:t xml:space="preserve">•  Human Tissue Act 2004 – Section 1 (consent for use of human tissue)</w:t>
      </w:r>
    </w:p>
    <w:p>
      <w:pPr>
        <w:spacing w:after="60" w:before="60"/>
      </w:pPr>
      <w:r>
        <w:rPr>
          <w:rFonts w:ascii="Arial" w:cs="Arial" w:eastAsia="Arial" w:hAnsi="Arial"/>
          <w:color w:val="333333"/>
          <w:sz w:val="20"/>
          <w:szCs w:val="20"/>
        </w:rPr>
        <w:t xml:space="preserve">•  Health and Social Care Act 2008 (Regulated Activities) Regulations 2014 – Regulation 12</w:t>
      </w:r>
    </w:p>
    <w:p>
      <w:pPr>
        <w:spacing w:after="60" w:before="60"/>
      </w:pPr>
      <w:r>
        <w:rPr>
          <w:rFonts w:ascii="Arial" w:cs="Arial" w:eastAsia="Arial" w:hAnsi="Arial"/>
          <w:color w:val="333333"/>
          <w:sz w:val="20"/>
          <w:szCs w:val="20"/>
        </w:rPr>
        <w:t xml:space="preserve">•  Personal Protective Equipment at Work Regulations 1992 (SI 1992/2966)</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4. Risk Rating Matrix</w:t>
      </w:r>
    </w:p>
    <w:p>
      <w:pPr>
        <w:spacing w:after="60" w:before="60"/>
      </w:pPr>
      <w:r>
        <w:rPr>
          <w:rFonts w:ascii="Arial" w:cs="Arial" w:eastAsia="Arial" w:hAnsi="Arial"/>
          <w:color w:val="333333"/>
          <w:sz w:val="20"/>
          <w:szCs w:val="20"/>
        </w:rPr>
        <w:t xml:space="preserve">Risk is calculated as Likelihood (L) × Severity (S). The following colour-coded matrix defines action thresholds:</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5078"/>
      </w:tblGrid>
      <w:tr>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Likelihood (L)</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Severity (S)</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 (L×S)</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 Level</w:t>
            </w:r>
          </w:p>
        </w:tc>
        <w:tc>
          <w:tcPr>
            <w:tcW w:type="dxa" w:w="50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 Required</w:t>
            </w:r>
          </w:p>
        </w:tc>
      </w:tr>
      <w:tr>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1–4</w:t>
            </w:r>
          </w:p>
        </w:tc>
        <w:tc>
          <w:tcPr>
            <w:tcW w:type="dxa" w:w="2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5078"/>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Monitor – no immediate action</w:t>
            </w:r>
          </w:p>
        </w:tc>
      </w:tr>
      <w:tr>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2–3</w:t>
            </w:r>
          </w:p>
        </w:tc>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2–3</w:t>
            </w:r>
          </w:p>
        </w:tc>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5–12</w:t>
            </w:r>
          </w:p>
        </w:tc>
        <w:tc>
          <w:tcPr>
            <w:tcW w:type="dxa" w:w="2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5078"/>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Controls required; review quarterly</w:t>
            </w:r>
          </w:p>
        </w:tc>
      </w:tr>
      <w:tr>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4–5</w:t>
            </w:r>
          </w:p>
        </w:tc>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4–5</w:t>
            </w:r>
          </w:p>
        </w:tc>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13–25</w:t>
            </w:r>
          </w:p>
        </w:tc>
        <w:tc>
          <w:tcPr>
            <w:tcW w:type="dxa" w:w="2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5078"/>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Immediate action; cease activity until controlled</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5. Hazard Identification &amp; Control Measures</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00"/>
        <w:gridCol w:w="3200"/>
        <w:gridCol w:w="800"/>
        <w:gridCol w:w="800"/>
        <w:gridCol w:w="900"/>
        <w:gridCol w:w="1578"/>
      </w:tblGrid>
      <w:tr>
        <w:tc>
          <w:tcPr>
            <w:tcW w:type="dxa" w:w="2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Hazard</w:t>
            </w:r>
          </w:p>
        </w:tc>
        <w:tc>
          <w:tcPr>
            <w:tcW w:type="dxa" w:w="20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Who Is at Risk</w:t>
            </w:r>
          </w:p>
        </w:tc>
        <w:tc>
          <w:tcPr>
            <w:tcW w:type="dxa" w:w="3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Existing Controls</w:t>
            </w:r>
          </w:p>
        </w:tc>
        <w:tc>
          <w:tcPr>
            <w:tcW w:type="dxa" w:w="3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Additional Controls</w:t>
            </w:r>
          </w:p>
        </w:tc>
        <w:tc>
          <w:tcPr>
            <w:tcW w:type="dxa" w:w="8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L</w:t>
            </w:r>
          </w:p>
        </w:tc>
        <w:tc>
          <w:tcPr>
            <w:tcW w:type="dxa" w:w="8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w:t>
            </w:r>
          </w:p>
        </w:tc>
        <w:tc>
          <w:tcPr>
            <w:tcW w:type="dxa" w:w="9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Rating</w:t>
            </w:r>
          </w:p>
        </w:tc>
        <w:tc>
          <w:tcPr>
            <w:tcW w:type="dxa" w:w="1578"/>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Risk Level</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Bloodborne pathogen exposure during venepuncture/processing</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Practitioners, Staff</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Full PPE (gloves, visor, apron); safety-engineered butterfly needles; closed-system PRP kits; Hep B vaccination for all clinical staff</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PEP protocol accessible; blood spill kit in treatment room; sharps injury reporting; BBV screening protocol</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5</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10</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Vasovagal episode / haematoma from venepuncture</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 seated/reclined; trained phlebotomist; pressure applied post-draw; observation period</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Fainting protocol; emergency buzzer in room; post-venepuncture care leaflet</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900"/>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4</w:t>
            </w:r>
          </w:p>
        </w:tc>
        <w:tc>
          <w:tcPr>
            <w:tcW w:type="dxa" w:w="1578"/>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Sample mislabelling / cross-contamination (wrong patient blood)</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Strict patient ID verification; single patient per PRP preparation; labelling at point of draw; closed-system kits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Two-person ID check; barcode labelling system; never prepare PRP for more than one patient at a time</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5</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5</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Infection at injection site</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Aseptic technique throughout; single-use consumables; chlorhexidine skin preparation; sterile field for PRP handling</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Post-procedure infection monitoring; antibiotic prescribing pathway; patient advice line for concerns</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Centrifuge malfunction / breakage</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Practitioners, Staff</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CE-marked medical-grade centrifuge; manufacturer service schedule; balanced tube loading; lid-lock mechanism</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SOPs for centrifuge operation; breakage/spillage protocol; backup device or referral arrangement</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3</w:t>
            </w:r>
          </w:p>
        </w:tc>
        <w:tc>
          <w:tcPr>
            <w:tcW w:type="dxa" w:w="1578"/>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LOW</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Allergic reaction (rare – to anticoagulant in PRP kit)</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Medical history review for citrate/heparin allergy; emergency resuscitation kit available</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Alternative PRP kit without allergenic anticoagulant; anaphylaxis protocol; allergy documentation in patient record</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1</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4</w:t>
            </w:r>
          </w:p>
        </w:tc>
        <w:tc>
          <w:tcPr>
            <w:tcW w:type="dxa" w:w="1578"/>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Blood spillage in treatment area</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Practitioners, Staff, Patients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Absorbent drapes; blood spill kit (granules, disinfectant, PPE) in room; clinical waste bins (orange/yellow)</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Spill management SOP; deep clean protocol post-spill; environmental audit; staff training in spill management</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6</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Treatment of contraindicated patient</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Screening for platelet disorders, blood thinners, cancer, active infection, pregnancy; blood test recommended if uncertain</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Contraindication decision support tool; GP liaison; MDT review for complex cases</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6. Additional Notes</w:t>
      </w:r>
    </w:p>
    <w:p>
      <w:pPr>
        <w:spacing w:after="60" w:before="60"/>
      </w:pPr>
      <w:r>
        <w:rPr>
          <w:rFonts w:ascii="Arial" w:cs="Arial" w:eastAsia="Arial" w:hAnsi="Arial"/>
          <w:color w:val="333333"/>
          <w:sz w:val="20"/>
          <w:szCs w:val="20"/>
        </w:rPr>
        <w:t xml:space="preserve">PRP is an autologous blood product and is regulated under the Human Tissue Act 2004 where applicable. Facilities performing PRP must comply with local authority licensing requirements and hold appropriate clinical waste contracts. All PRP kits must be CE-marked and used in accordance with manufacturer instructions. Staff performing venepuncture must hold relevant competency certification. Detailed records including kit batch numbers, centrifuge settings, and patient blood draw volume must be maintained.</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7. Sign-Off &amp; Approval</w:t>
      </w:r>
    </w:p>
    <w:p>
      <w:pPr>
        <w:spacing w:after="60" w:before="60"/>
      </w:pPr>
      <w:r>
        <w:rPr>
          <w:rFonts w:ascii="Arial" w:cs="Arial" w:eastAsia="Arial" w:hAnsi="Arial"/>
          <w:color w:val="333333"/>
          <w:sz w:val="20"/>
          <w:szCs w:val="20"/>
        </w:rPr>
        <w:t xml:space="preserve">This risk assessment has been reviewed and approved by the undersigned. It shall be reviewed at least annually or following any significant incident, change in legislation, or operational modification.</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70"/>
        <w:gridCol w:w="3670"/>
        <w:gridCol w:w="3669"/>
      </w:tblGrid>
      <w:tr>
        <w:tc>
          <w:tcPr>
            <w:tcW w:type="dxa" w:w="3669"/>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367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367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3669"/>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Assessor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Clinic Manager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Clinical Lead / Medical Director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bl>
    <w:p>
      <w:pPr>
        <w:spacing w:after="0" w:before="200"/>
      </w:pPr>
    </w:p>
    <w:p>
      <w:pPr>
        <w:spacing w:after="0" w:before="100"/>
        <w:jc w:val="center"/>
      </w:pPr>
      <w:r>
        <w:rPr>
          <w:rFonts w:ascii="Arial" w:cs="Arial" w:eastAsia="Arial" w:hAnsi="Arial"/>
          <w:i/>
          <w:iCs/>
          <w:color w:val="D4AF37"/>
          <w:sz w:val="16"/>
          <w:szCs w:val="16"/>
        </w:rPr>
        <w:t xml:space="preserve">Barker Scott – Aesthetic Clinic Compliance</w:t>
      </w:r>
    </w:p>
    <w:p>
      <w:pPr>
        <w:spacing w:after="0" w:before="40"/>
        <w:jc w:val="center"/>
      </w:pPr>
      <w:r>
        <w:rPr>
          <w:rFonts w:ascii="Arial" w:cs="Arial" w:eastAsia="Arial" w:hAnsi="Arial"/>
          <w:color w:val="0B1D3A"/>
          <w:sz w:val="16"/>
          <w:szCs w:val="16"/>
        </w:rPr>
        <w:t xml:space="preserve">barker-scott.co.uk</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14678"/>
      </w:tabs>
      <w:spacing w:before="80"/>
    </w:pPr>
    <w:r>
      <w:rPr>
        <w:rFonts w:ascii="Arial" w:cs="Arial" w:eastAsia="Arial" w:hAnsi="Arial"/>
        <w:color w:val="0B1D3A"/>
        <w:sz w:val="16"/>
        <w:szCs w:val="16"/>
      </w:rPr>
      <w:t xml:space="preserve">BS-RA-006</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rPr>
        <w:rFonts w:ascii="Arial" w:cs="Arial" w:eastAsia="Arial" w:hAnsi="Arial"/>
        <w:b/>
        <w:bCs/>
        <w:color w:val="0B1D3A"/>
        <w:sz w:val="28"/>
        <w:szCs w:val="28"/>
      </w:rPr>
      <w:t xml:space="preserve">BARKER SCOTT</w:t>
    </w:r>
    <w:r>
      <w:rPr>
        <w:rFonts w:ascii="Arial" w:cs="Arial" w:eastAsia="Arial" w:hAnsi="Arial"/>
        <w:color w:val="D4AF37"/>
        <w:sz w:val="20"/>
        <w:szCs w:val="20"/>
      </w:rPr>
      <w:t xml:space="preserve">  |  </w:t>
    </w:r>
    <w:r>
      <w:rPr>
        <w:rFonts w:ascii="Arial" w:cs="Arial" w:eastAsia="Arial" w:hAnsi="Arial"/>
        <w:i/>
        <w:iCs/>
        <w:color w:val="D4AF37"/>
        <w:sz w:val="20"/>
        <w:szCs w:val="20"/>
      </w:rPr>
      <w:t xml:space="preserve">Aesthetic Clinic Risk Assessment</w:t>
    </w:r>
  </w:p>
  <w:p>
    <w:pPr>
      <w:pBdr>
        <w:bottom w:val="single" w:color="D4AF37"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2026-05-15T09:38:41.653Z</dcterms:created>
  <dcterms:modified xsi:type="dcterms:W3CDTF">2026-05-15T09:38:41.653Z</dcterms:modified>
</cp:coreProperties>
</file>

<file path=docProps/custom.xml><?xml version="1.0" encoding="utf-8"?>
<Properties xmlns="http://schemas.openxmlformats.org/officeDocument/2006/custom-properties" xmlns:vt="http://schemas.openxmlformats.org/officeDocument/2006/docPropsVTypes"/>
</file>