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0B1D3A"/>
          <w:sz w:val="36"/>
          <w:szCs w:val="36"/>
        </w:rPr>
        <w:t xml:space="preserve">RISK ASSESSMENT</w:t>
      </w:r>
    </w:p>
    <w:p>
      <w:pPr>
        <w:spacing w:after="60" w:before="0"/>
        <w:jc w:val="center"/>
      </w:pPr>
      <w:r>
        <w:rPr>
          <w:rFonts w:ascii="Arial" w:cs="Arial" w:eastAsia="Arial" w:hAnsi="Arial"/>
          <w:b/>
          <w:bCs/>
          <w:color w:val="D4AF37"/>
          <w:sz w:val="28"/>
          <w:szCs w:val="28"/>
        </w:rPr>
        <w:t xml:space="preserve">THREAD LIFT PROCEDURES (PDO / PLLA / PCL THREADS)</w:t>
      </w:r>
    </w:p>
    <w:p>
      <w:pPr>
        <w:pBdr>
          <w:bottom w:val="single" w:color="D4AF37" w:sz="6" w:space="1"/>
        </w:pBdr>
        <w:spacing w:after="200" w:before="200"/>
      </w:pPr>
    </w:p>
    <w:p>
      <w:pPr>
        <w:spacing w:after="60" w:before="60"/>
      </w:pPr>
      <w:r>
        <w:rPr>
          <w:rFonts w:ascii="Arial" w:cs="Arial" w:eastAsia="Arial" w:hAnsi="Arial"/>
          <w:b/>
          <w:bCs/>
          <w:color w:val="0B1D3A"/>
          <w:sz w:val="20"/>
          <w:szCs w:val="20"/>
        </w:rPr>
        <w:t xml:space="preserve">Document Reference: </w:t>
      </w:r>
      <w:r>
        <w:rPr>
          <w:rFonts w:ascii="Arial" w:cs="Arial" w:eastAsia="Arial" w:hAnsi="Arial"/>
          <w:color w:val="333333"/>
          <w:sz w:val="20"/>
          <w:szCs w:val="20"/>
        </w:rPr>
        <w:t xml:space="preserve">BS-RA-008</w:t>
      </w:r>
    </w:p>
    <w:p>
      <w:pPr>
        <w:spacing w:after="60" w:before="60"/>
      </w:pPr>
      <w:r>
        <w:rPr>
          <w:rFonts w:ascii="Arial" w:cs="Arial" w:eastAsia="Arial" w:hAnsi="Arial"/>
          <w:b/>
          <w:bCs/>
          <w:color w:val="0B1D3A"/>
          <w:sz w:val="20"/>
          <w:szCs w:val="20"/>
        </w:rPr>
        <w:t xml:space="preserve">Assessment Date: </w:t>
      </w:r>
      <w:r>
        <w:rPr>
          <w:rFonts w:ascii="Arial" w:cs="Arial" w:eastAsia="Arial" w:hAnsi="Arial"/>
          <w:color w:val="333333"/>
          <w:sz w:val="20"/>
          <w:szCs w:val="20"/>
        </w:rPr>
        <w:t xml:space="preserve">[DD/MM/YYYY]</w:t>
      </w:r>
    </w:p>
    <w:p>
      <w:pPr>
        <w:spacing w:after="60" w:before="60"/>
      </w:pPr>
      <w:r>
        <w:rPr>
          <w:rFonts w:ascii="Arial" w:cs="Arial" w:eastAsia="Arial" w:hAnsi="Arial"/>
          <w:b/>
          <w:bCs/>
          <w:color w:val="0B1D3A"/>
          <w:sz w:val="20"/>
          <w:szCs w:val="20"/>
        </w:rPr>
        <w:t xml:space="preserve">Review Date: </w:t>
      </w:r>
      <w:r>
        <w:rPr>
          <w:rFonts w:ascii="Arial" w:cs="Arial" w:eastAsia="Arial" w:hAnsi="Arial"/>
          <w:color w:val="333333"/>
          <w:sz w:val="20"/>
          <w:szCs w:val="20"/>
        </w:rPr>
        <w:t xml:space="preserve">[DD/MM/YYYY]</w:t>
      </w:r>
    </w:p>
    <w:p>
      <w:pPr>
        <w:spacing w:after="60" w:before="60"/>
      </w:pPr>
      <w:r>
        <w:rPr>
          <w:rFonts w:ascii="Arial" w:cs="Arial" w:eastAsia="Arial" w:hAnsi="Arial"/>
          <w:b/>
          <w:bCs/>
          <w:color w:val="0B1D3A"/>
          <w:sz w:val="20"/>
          <w:szCs w:val="20"/>
        </w:rPr>
        <w:t xml:space="preserve">Assessor: </w:t>
      </w:r>
      <w:r>
        <w:rPr>
          <w:rFonts w:ascii="Arial" w:cs="Arial" w:eastAsia="Arial" w:hAnsi="Arial"/>
          <w:color w:val="333333"/>
          <w:sz w:val="20"/>
          <w:szCs w:val="20"/>
        </w:rPr>
        <w:t xml:space="preserve">[Insert Name]</w:t>
      </w:r>
    </w:p>
    <w:p>
      <w:pPr>
        <w:spacing w:after="60" w:before="60"/>
      </w:pPr>
      <w:r>
        <w:rPr>
          <w:rFonts w:ascii="Arial" w:cs="Arial" w:eastAsia="Arial" w:hAnsi="Arial"/>
          <w:b/>
          <w:bCs/>
          <w:color w:val="0B1D3A"/>
          <w:sz w:val="20"/>
          <w:szCs w:val="20"/>
        </w:rPr>
        <w:t xml:space="preserve">Location: </w:t>
      </w:r>
      <w:r>
        <w:rPr>
          <w:rFonts w:ascii="Arial" w:cs="Arial" w:eastAsia="Arial" w:hAnsi="Arial"/>
          <w:color w:val="333333"/>
          <w:sz w:val="20"/>
          <w:szCs w:val="20"/>
        </w:rPr>
        <w:t xml:space="preserve">[Insert Clinic Name &amp; Address]</w:t>
      </w:r>
    </w:p>
    <w:p>
      <w:pPr>
        <w:spacing w:after="60" w:before="60"/>
      </w:pPr>
      <w:r>
        <w:rPr>
          <w:rFonts w:ascii="Arial" w:cs="Arial" w:eastAsia="Arial" w:hAnsi="Arial"/>
          <w:b/>
          <w:bCs/>
          <w:color w:val="0B1D3A"/>
          <w:sz w:val="20"/>
          <w:szCs w:val="20"/>
        </w:rPr>
        <w:t xml:space="preserve">Version: </w:t>
      </w:r>
      <w:r>
        <w:rPr>
          <w:rFonts w:ascii="Arial" w:cs="Arial" w:eastAsia="Arial" w:hAnsi="Arial"/>
          <w:color w:val="333333"/>
          <w:sz w:val="20"/>
          <w:szCs w:val="20"/>
        </w:rPr>
        <w:t xml:space="preserve">1.0</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 Purpose</w:t>
      </w:r>
    </w:p>
    <w:p>
      <w:pPr>
        <w:spacing w:after="60" w:before="60"/>
      </w:pPr>
      <w:r>
        <w:rPr>
          <w:rFonts w:ascii="Arial" w:cs="Arial" w:eastAsia="Arial" w:hAnsi="Arial"/>
          <w:color w:val="333333"/>
          <w:sz w:val="20"/>
          <w:szCs w:val="20"/>
        </w:rPr>
        <w:t xml:space="preserve">To identify, evaluate and mitigate risks associated with absorbable thread lift procedures within the aesthetic clinic, ensuring the safety of patients, practitioners and clinical staff.</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2. Scope</w:t>
      </w:r>
    </w:p>
    <w:p>
      <w:pPr>
        <w:spacing w:after="60" w:before="60"/>
      </w:pPr>
      <w:r>
        <w:rPr>
          <w:rFonts w:ascii="Arial" w:cs="Arial" w:eastAsia="Arial" w:hAnsi="Arial"/>
          <w:color w:val="333333"/>
          <w:sz w:val="20"/>
          <w:szCs w:val="20"/>
        </w:rPr>
        <w:t xml:space="preserve">This assessment covers all thread lift treatments using polydioxanone (PDO), poly-L-lactic acid (PLLA), and polycaprolactone (PCL) threads including smooth, barbed, and cog thread insertion for facial lifting, jawline definition, neck rejuvenation, and body thread treatments. It applies to all qualified practitioners and clinical support staff.</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3. Legal &amp; Regulatory Framework</w:t>
      </w:r>
    </w:p>
    <w:p>
      <w:pPr>
        <w:spacing w:after="60" w:before="60"/>
      </w:pPr>
      <w:r>
        <w:rPr>
          <w:rFonts w:ascii="Arial" w:cs="Arial" w:eastAsia="Arial" w:hAnsi="Arial"/>
          <w:color w:val="333333"/>
          <w:sz w:val="20"/>
          <w:szCs w:val="20"/>
        </w:rPr>
        <w:t xml:space="preserve">•  Health and Safety at Work etc. Act 1974 – Sections 2 &amp; 3</w:t>
      </w:r>
    </w:p>
    <w:p>
      <w:pPr>
        <w:spacing w:after="60" w:before="60"/>
      </w:pPr>
      <w:r>
        <w:rPr>
          <w:rFonts w:ascii="Arial" w:cs="Arial" w:eastAsia="Arial" w:hAnsi="Arial"/>
          <w:color w:val="333333"/>
          <w:sz w:val="20"/>
          <w:szCs w:val="20"/>
        </w:rPr>
        <w:t xml:space="preserve">•  The Management of Health and Safety at Work Regulations 1999 (SI 1999/3242)</w:t>
      </w:r>
    </w:p>
    <w:p>
      <w:pPr>
        <w:spacing w:after="60" w:before="60"/>
      </w:pPr>
      <w:r>
        <w:rPr>
          <w:rFonts w:ascii="Arial" w:cs="Arial" w:eastAsia="Arial" w:hAnsi="Arial"/>
          <w:color w:val="333333"/>
          <w:sz w:val="20"/>
          <w:szCs w:val="20"/>
        </w:rPr>
        <w:t xml:space="preserve">•  Medical Devices Regulations 2002 (SI 2002/618, as amended)</w:t>
      </w:r>
    </w:p>
    <w:p>
      <w:pPr>
        <w:spacing w:after="60" w:before="60"/>
      </w:pPr>
      <w:r>
        <w:rPr>
          <w:rFonts w:ascii="Arial" w:cs="Arial" w:eastAsia="Arial" w:hAnsi="Arial"/>
          <w:color w:val="333333"/>
          <w:sz w:val="20"/>
          <w:szCs w:val="20"/>
        </w:rPr>
        <w:t xml:space="preserve">•  Health and Social Care Act 2008 (Regulated Activities) Regulations 2014 – Regulation 12</w:t>
      </w:r>
    </w:p>
    <w:p>
      <w:pPr>
        <w:spacing w:after="60" w:before="60"/>
      </w:pPr>
      <w:r>
        <w:rPr>
          <w:rFonts w:ascii="Arial" w:cs="Arial" w:eastAsia="Arial" w:hAnsi="Arial"/>
          <w:color w:val="333333"/>
          <w:sz w:val="20"/>
          <w:szCs w:val="20"/>
        </w:rPr>
        <w:t xml:space="preserve">•  Human Medicines Regulations 2012 (SI 2012/1916) – where local anaesthetic is prescribed</w:t>
      </w:r>
    </w:p>
    <w:p>
      <w:pPr>
        <w:spacing w:after="60" w:before="60"/>
      </w:pPr>
      <w:r>
        <w:rPr>
          <w:rFonts w:ascii="Arial" w:cs="Arial" w:eastAsia="Arial" w:hAnsi="Arial"/>
          <w:color w:val="333333"/>
          <w:sz w:val="20"/>
          <w:szCs w:val="20"/>
        </w:rPr>
        <w:t xml:space="preserve">•  Consumer Protection Act 1987 – Part I (Product Liability)</w:t>
      </w:r>
    </w:p>
    <w:p>
      <w:pPr>
        <w:spacing w:after="60" w:before="60"/>
      </w:pPr>
      <w:r>
        <w:rPr>
          <w:rFonts w:ascii="Arial" w:cs="Arial" w:eastAsia="Arial" w:hAnsi="Arial"/>
          <w:color w:val="333333"/>
          <w:sz w:val="20"/>
          <w:szCs w:val="20"/>
        </w:rPr>
        <w:t xml:space="preserve">•  The Health and Safety (Sharp Instruments in Healthcare) Regulations 2013 (SI 2013/645)</w:t>
      </w:r>
    </w:p>
    <w:p>
      <w:pPr>
        <w:spacing w:after="60" w:before="60"/>
      </w:pPr>
      <w:r>
        <w:rPr>
          <w:rFonts w:ascii="Arial" w:cs="Arial" w:eastAsia="Arial" w:hAnsi="Arial"/>
          <w:color w:val="333333"/>
          <w:sz w:val="20"/>
          <w:szCs w:val="20"/>
        </w:rPr>
        <w:t xml:space="preserve">•  Joint Council for Cosmetic Practitioners (JCCP) Standards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4. Risk Rating Matrix</w:t>
      </w:r>
    </w:p>
    <w:p>
      <w:pPr>
        <w:spacing w:after="60" w:before="60"/>
      </w:pPr>
      <w:r>
        <w:rPr>
          <w:rFonts w:ascii="Arial" w:cs="Arial" w:eastAsia="Arial" w:hAnsi="Arial"/>
          <w:color w:val="333333"/>
          <w:sz w:val="20"/>
          <w:szCs w:val="20"/>
        </w:rPr>
        <w:t xml:space="preserve">Risk is calculated as Likelihood (L) × Severity (S). The following colour-coded matrix defines action thresholds:</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gridCol w:w="5078"/>
      </w:tblGrid>
      <w:tr>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Likelihood (L)</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Severity (S)</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Rating (L×S)</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Risk Level</w:t>
            </w:r>
          </w:p>
        </w:tc>
        <w:tc>
          <w:tcPr>
            <w:tcW w:type="dxa" w:w="50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 Required</w:t>
            </w:r>
          </w:p>
        </w:tc>
      </w:tr>
      <w:tr>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1–2</w:t>
            </w:r>
          </w:p>
        </w:tc>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1–2</w:t>
            </w:r>
          </w:p>
        </w:tc>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1–4</w:t>
            </w:r>
          </w:p>
        </w:tc>
        <w:tc>
          <w:tcPr>
            <w:tcW w:type="dxa" w:w="2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5078"/>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Monitor – no immediate action</w:t>
            </w:r>
          </w:p>
        </w:tc>
      </w:tr>
      <w:tr>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2–3</w:t>
            </w:r>
          </w:p>
        </w:tc>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2–3</w:t>
            </w:r>
          </w:p>
        </w:tc>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5–12</w:t>
            </w:r>
          </w:p>
        </w:tc>
        <w:tc>
          <w:tcPr>
            <w:tcW w:type="dxa" w:w="2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5078"/>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Controls required; review quarterly</w:t>
            </w:r>
          </w:p>
        </w:tc>
      </w:tr>
      <w:tr>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4–5</w:t>
            </w:r>
          </w:p>
        </w:tc>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4–5</w:t>
            </w:r>
          </w:p>
        </w:tc>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13–25</w:t>
            </w:r>
          </w:p>
        </w:tc>
        <w:tc>
          <w:tcPr>
            <w:tcW w:type="dxa" w:w="2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5078"/>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Immediate action; cease activity until controlled</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5. Hazard Identification &amp; Control Measures</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200"/>
        <w:gridCol w:w="3200"/>
        <w:gridCol w:w="800"/>
        <w:gridCol w:w="800"/>
        <w:gridCol w:w="900"/>
        <w:gridCol w:w="1578"/>
      </w:tblGrid>
      <w:tr>
        <w:tc>
          <w:tcPr>
            <w:tcW w:type="dxa" w:w="2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Hazard</w:t>
            </w:r>
          </w:p>
        </w:tc>
        <w:tc>
          <w:tcPr>
            <w:tcW w:type="dxa" w:w="20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Who Is at Risk</w:t>
            </w:r>
          </w:p>
        </w:tc>
        <w:tc>
          <w:tcPr>
            <w:tcW w:type="dxa" w:w="3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Existing Controls</w:t>
            </w:r>
          </w:p>
        </w:tc>
        <w:tc>
          <w:tcPr>
            <w:tcW w:type="dxa" w:w="3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Additional Controls</w:t>
            </w:r>
          </w:p>
        </w:tc>
        <w:tc>
          <w:tcPr>
            <w:tcW w:type="dxa" w:w="8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L</w:t>
            </w:r>
          </w:p>
        </w:tc>
        <w:tc>
          <w:tcPr>
            <w:tcW w:type="dxa" w:w="8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w:t>
            </w:r>
          </w:p>
        </w:tc>
        <w:tc>
          <w:tcPr>
            <w:tcW w:type="dxa" w:w="9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Rating</w:t>
            </w:r>
          </w:p>
        </w:tc>
        <w:tc>
          <w:tcPr>
            <w:tcW w:type="dxa" w:w="1578"/>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Risk Level</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Infection / abscess at insertion site</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Aseptic non-touch technique; chlorhexidine skin preparation; sterile thread products; single-use cannulae/needles; PPE</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Post-procedure antibiotic protocol if indicated; follow-up at 48 hours and 7 days; wound care leaflet; infection escalation pathway</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Thread migration / extrusion / palpability</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Correct insertion depth and technique; practitioner trained to advanced level; use of CE-marked threads; anatomical landmark protocols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Thread removal protocol; patient advised on signs of extrusion; complication audit; referral to maxillofacial/plastics if needed</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6</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Nerve damage / facial asymmetry</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Detailed anatomical knowledge of facial nerve pathways; conservative approach; practitioner holds Level 7 or equivalent qualification</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Nerve injury protocol; neurology referral pathway; immediate assessment if motor deficit noted; peer review programme</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5</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5</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Vascular injury / haematoma</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Knowledge of facial vasculature; use of blunt cannulae where appropriate; aspiration technique; ice application post-treatment</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Vascular injury protocol; pressure dressing available; medical director on-call; photographic documentation</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Allergic reaction to thread material</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Medical history review; allergy screening; use of biocompatible CE-marked materials; emergency kit available</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Allergy testing for high-risk patients; alternative thread material options; anaphylaxis protocol</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E8F8F0" w:val="clear"/>
            <w:tcMar>
              <w:top w:type="dxa" w:w="50"/>
              <w:left w:type="dxa" w:w="80"/>
              <w:bottom w:type="dxa" w:w="50"/>
              <w:right w:type="dxa" w:w="80"/>
            </w:tcMar>
            <w:vAlign w:val="center"/>
          </w:tcPr>
          <w:p>
            <w:pPr>
              <w:jc w:val="center"/>
            </w:pPr>
            <w:r>
              <w:rPr>
                <w:rFonts w:ascii="Arial" w:cs="Arial" w:eastAsia="Arial" w:hAnsi="Arial"/>
                <w:b/>
                <w:bCs/>
                <w:color w:val="27AE60"/>
                <w:sz w:val="17"/>
                <w:szCs w:val="17"/>
              </w:rPr>
              <w:t xml:space="preserve">4</w:t>
            </w:r>
          </w:p>
        </w:tc>
        <w:tc>
          <w:tcPr>
            <w:tcW w:type="dxa" w:w="1578"/>
            <w:tcBorders>
              <w:top w:val="single" w:color="CCCCCC" w:sz="1"/>
              <w:left w:val="single" w:color="CCCCCC" w:sz="1"/>
              <w:bottom w:val="single" w:color="CCCCCC" w:sz="1"/>
              <w:right w:val="single" w:color="CCCCCC" w:sz="1"/>
            </w:tcBorders>
            <w:shd w:fill="E8F8F0" w:val="clear"/>
            <w:tcMar>
              <w:top w:type="dxa" w:w="50"/>
              <w:left w:type="dxa" w:w="80"/>
              <w:bottom w:type="dxa" w:w="50"/>
              <w:right w:type="dxa" w:w="80"/>
            </w:tcMar>
            <w:vAlign w:val="center"/>
          </w:tcPr>
          <w:p>
            <w:pPr>
              <w:jc w:val="center"/>
            </w:pPr>
            <w:r>
              <w:rPr>
                <w:rFonts w:ascii="Arial" w:cs="Arial" w:eastAsia="Arial" w:hAnsi="Arial"/>
                <w:b/>
                <w:bCs/>
                <w:color w:val="27AE60"/>
                <w:sz w:val="17"/>
                <w:szCs w:val="17"/>
              </w:rPr>
              <w:t xml:space="preserve">LOW</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Needlestick / sharps injury</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Practitioners, Staff</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Safety-engineered sharps; sharps bin at point of use; no re-sheathing; Hep B vaccination</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Needlestick protocol; PEP access; incident log; annual sharps audit</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6</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Pain / discomfort beyond expected level</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Local anaesthetic administration per protocol; pain assessment during procedure; analgesic advice post-treatment</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Pain management escalation protocol; 24-hour contact line; review within 48 hours if pain persists</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900"/>
            <w:tcBorders>
              <w:top w:val="single" w:color="CCCCCC" w:sz="1"/>
              <w:left w:val="single" w:color="CCCCCC" w:sz="1"/>
              <w:bottom w:val="single" w:color="CCCCCC" w:sz="1"/>
              <w:right w:val="single" w:color="CCCCCC" w:sz="1"/>
            </w:tcBorders>
            <w:shd w:fill="E8F8F0" w:val="clear"/>
            <w:tcMar>
              <w:top w:type="dxa" w:w="50"/>
              <w:left w:type="dxa" w:w="80"/>
              <w:bottom w:type="dxa" w:w="50"/>
              <w:right w:type="dxa" w:w="80"/>
            </w:tcMar>
            <w:vAlign w:val="center"/>
          </w:tcPr>
          <w:p>
            <w:pPr>
              <w:jc w:val="center"/>
            </w:pPr>
            <w:r>
              <w:rPr>
                <w:rFonts w:ascii="Arial" w:cs="Arial" w:eastAsia="Arial" w:hAnsi="Arial"/>
                <w:b/>
                <w:bCs/>
                <w:color w:val="27AE60"/>
                <w:sz w:val="17"/>
                <w:szCs w:val="17"/>
              </w:rPr>
              <w:t xml:space="preserve">4</w:t>
            </w:r>
          </w:p>
        </w:tc>
        <w:tc>
          <w:tcPr>
            <w:tcW w:type="dxa" w:w="1578"/>
            <w:tcBorders>
              <w:top w:val="single" w:color="CCCCCC" w:sz="1"/>
              <w:left w:val="single" w:color="CCCCCC" w:sz="1"/>
              <w:bottom w:val="single" w:color="CCCCCC" w:sz="1"/>
              <w:right w:val="single" w:color="CCCCCC" w:sz="1"/>
            </w:tcBorders>
            <w:shd w:fill="E8F8F0" w:val="clear"/>
            <w:tcMar>
              <w:top w:type="dxa" w:w="50"/>
              <w:left w:type="dxa" w:w="80"/>
              <w:bottom w:type="dxa" w:w="50"/>
              <w:right w:type="dxa" w:w="80"/>
            </w:tcMar>
            <w:vAlign w:val="center"/>
          </w:tcPr>
          <w:p>
            <w:pPr>
              <w:jc w:val="center"/>
            </w:pPr>
            <w:r>
              <w:rPr>
                <w:rFonts w:ascii="Arial" w:cs="Arial" w:eastAsia="Arial" w:hAnsi="Arial"/>
                <w:b/>
                <w:bCs/>
                <w:color w:val="27AE60"/>
                <w:sz w:val="17"/>
                <w:szCs w:val="17"/>
              </w:rPr>
              <w:t xml:space="preserve">LOW</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Granuloma formation / foreign body reaction</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Use of high-quality CE-marked absorbable threads; correct insertion technique; post-procedure monitoring</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Granuloma management protocol; dermatology referral; steroid injection pathway if required; long-term follow-up schedule</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1</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900"/>
            <w:tcBorders>
              <w:top w:val="single" w:color="CCCCCC" w:sz="1"/>
              <w:left w:val="single" w:color="CCCCCC" w:sz="1"/>
              <w:bottom w:val="single" w:color="CCCCCC" w:sz="1"/>
              <w:right w:val="single" w:color="CCCCCC" w:sz="1"/>
            </w:tcBorders>
            <w:shd w:fill="E8F8F0" w:val="clear"/>
            <w:tcMar>
              <w:top w:type="dxa" w:w="50"/>
              <w:left w:type="dxa" w:w="80"/>
              <w:bottom w:type="dxa" w:w="50"/>
              <w:right w:type="dxa" w:w="80"/>
            </w:tcMar>
            <w:vAlign w:val="center"/>
          </w:tcPr>
          <w:p>
            <w:pPr>
              <w:jc w:val="center"/>
            </w:pPr>
            <w:r>
              <w:rPr>
                <w:rFonts w:ascii="Arial" w:cs="Arial" w:eastAsia="Arial" w:hAnsi="Arial"/>
                <w:b/>
                <w:bCs/>
                <w:color w:val="27AE60"/>
                <w:sz w:val="17"/>
                <w:szCs w:val="17"/>
              </w:rPr>
              <w:t xml:space="preserve">3</w:t>
            </w:r>
          </w:p>
        </w:tc>
        <w:tc>
          <w:tcPr>
            <w:tcW w:type="dxa" w:w="1578"/>
            <w:tcBorders>
              <w:top w:val="single" w:color="CCCCCC" w:sz="1"/>
              <w:left w:val="single" w:color="CCCCCC" w:sz="1"/>
              <w:bottom w:val="single" w:color="CCCCCC" w:sz="1"/>
              <w:right w:val="single" w:color="CCCCCC" w:sz="1"/>
            </w:tcBorders>
            <w:shd w:fill="E8F8F0" w:val="clear"/>
            <w:tcMar>
              <w:top w:type="dxa" w:w="50"/>
              <w:left w:type="dxa" w:w="80"/>
              <w:bottom w:type="dxa" w:w="50"/>
              <w:right w:type="dxa" w:w="80"/>
            </w:tcMar>
            <w:vAlign w:val="center"/>
          </w:tcPr>
          <w:p>
            <w:pPr>
              <w:jc w:val="center"/>
            </w:pPr>
            <w:r>
              <w:rPr>
                <w:rFonts w:ascii="Arial" w:cs="Arial" w:eastAsia="Arial" w:hAnsi="Arial"/>
                <w:b/>
                <w:bCs/>
                <w:color w:val="27AE60"/>
                <w:sz w:val="17"/>
                <w:szCs w:val="17"/>
              </w:rPr>
              <w:t xml:space="preserve">LOW</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6. Additional Notes</w:t>
      </w:r>
    </w:p>
    <w:p>
      <w:pPr>
        <w:spacing w:after="60" w:before="60"/>
      </w:pPr>
      <w:r>
        <w:rPr>
          <w:rFonts w:ascii="Arial" w:cs="Arial" w:eastAsia="Arial" w:hAnsi="Arial"/>
          <w:color w:val="333333"/>
          <w:sz w:val="20"/>
          <w:szCs w:val="20"/>
        </w:rPr>
        <w:t xml:space="preserve">Thread lift procedures are classified as invasive and should only be performed by practitioners with appropriate medical qualifications and advanced aesthetic training. All threads must be CE-marked medical devices with full batch traceability. Local anaesthetic used during the procedure may be a POM and must be prescribed and administered per clinic protocol. Informed consent must specifically address the risks of migration, extrusion, asymmetry, and the potential need for thread removal. Records must include thread type, batch number, quantity, insertion map, and post-procedure photographs.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7. Sign-Off &amp; Approval</w:t>
      </w:r>
    </w:p>
    <w:p>
      <w:pPr>
        <w:spacing w:after="60" w:before="60"/>
      </w:pPr>
      <w:r>
        <w:rPr>
          <w:rFonts w:ascii="Arial" w:cs="Arial" w:eastAsia="Arial" w:hAnsi="Arial"/>
          <w:color w:val="333333"/>
          <w:sz w:val="20"/>
          <w:szCs w:val="20"/>
        </w:rPr>
        <w:t xml:space="preserve">This risk assessment has been reviewed and approved by the undersigned. It shall be reviewed at least annually or following any significant incident, change in legislation, or operational modification.</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3670"/>
        <w:gridCol w:w="3670"/>
        <w:gridCol w:w="3669"/>
      </w:tblGrid>
      <w:tr>
        <w:tc>
          <w:tcPr>
            <w:tcW w:type="dxa" w:w="3669"/>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367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367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3669"/>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Assessor</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Clinic Manager</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Clinical Lead / Medical Director</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bl>
    <w:p>
      <w:pPr>
        <w:spacing w:after="0" w:before="200"/>
      </w:pPr>
    </w:p>
    <w:p>
      <w:pPr>
        <w:spacing w:after="0" w:before="100"/>
        <w:jc w:val="center"/>
      </w:pPr>
      <w:r>
        <w:rPr>
          <w:rFonts w:ascii="Arial" w:cs="Arial" w:eastAsia="Arial" w:hAnsi="Arial"/>
          <w:i/>
          <w:iCs/>
          <w:color w:val="D4AF37"/>
          <w:sz w:val="16"/>
          <w:szCs w:val="16"/>
        </w:rPr>
        <w:t xml:space="preserve">Barker Scott – Aesthetic Clinic Compliance</w:t>
      </w:r>
    </w:p>
    <w:p>
      <w:pPr>
        <w:spacing w:after="0" w:before="40"/>
        <w:jc w:val="center"/>
      </w:pPr>
      <w:r>
        <w:rPr>
          <w:rFonts w:ascii="Arial" w:cs="Arial" w:eastAsia="Arial" w:hAnsi="Arial"/>
          <w:color w:val="0B1D3A"/>
          <w:sz w:val="16"/>
          <w:szCs w:val="16"/>
        </w:rPr>
        <w:t xml:space="preserve">barker-scott.co.uk</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14678"/>
      </w:tabs>
      <w:spacing w:before="80"/>
    </w:pPr>
    <w:r>
      <w:rPr>
        <w:rFonts w:ascii="Arial" w:cs="Arial" w:eastAsia="Arial" w:hAnsi="Arial"/>
        <w:color w:val="0B1D3A"/>
        <w:sz w:val="16"/>
        <w:szCs w:val="16"/>
      </w:rPr>
      <w:t xml:space="preserve">BS-RA-008</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rPr>
        <w:rFonts w:ascii="Arial" w:cs="Arial" w:eastAsia="Arial" w:hAnsi="Arial"/>
        <w:b/>
        <w:bCs/>
        <w:color w:val="0B1D3A"/>
        <w:sz w:val="28"/>
        <w:szCs w:val="28"/>
      </w:rPr>
      <w:t xml:space="preserve">BARKER SCOTT</w:t>
    </w:r>
    <w:r>
      <w:rPr>
        <w:rFonts w:ascii="Arial" w:cs="Arial" w:eastAsia="Arial" w:hAnsi="Arial"/>
        <w:color w:val="D4AF37"/>
        <w:sz w:val="20"/>
        <w:szCs w:val="20"/>
      </w:rPr>
      <w:t xml:space="preserve">  |  </w:t>
    </w:r>
    <w:r>
      <w:rPr>
        <w:rFonts w:ascii="Arial" w:cs="Arial" w:eastAsia="Arial" w:hAnsi="Arial"/>
        <w:i/>
        <w:iCs/>
        <w:color w:val="D4AF37"/>
        <w:sz w:val="20"/>
        <w:szCs w:val="20"/>
      </w:rPr>
      <w:t xml:space="preserve">Aesthetic Clinic Risk Assessment</w:t>
    </w:r>
  </w:p>
  <w:p>
    <w:pPr>
      <w:pBdr>
        <w:bottom w:val="single" w:color="D4AF37"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2026-05-15T09:38:41.752Z</dcterms:created>
  <dcterms:modified xsi:type="dcterms:W3CDTF">2026-05-15T09:38:41.752Z</dcterms:modified>
</cp:coreProperties>
</file>

<file path=docProps/custom.xml><?xml version="1.0" encoding="utf-8"?>
<Properties xmlns="http://schemas.openxmlformats.org/officeDocument/2006/custom-properties" xmlns:vt="http://schemas.openxmlformats.org/officeDocument/2006/docPropsVTypes"/>
</file>