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FALLS PREVENTION &amp; MANAGEMENT</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BS-CH-RA-004</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falls among residents within the care home, reducing incidence, minimising injury, and ensuring effective post-fall management and learning.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intrinsic falls risk factors (mobility, cognition, medication, continence, vision), extrinsic factors (environment, footwear, equipment), post-fall management including neurological observations, and falls data analysis. It applies to all residents, staff, and visitors.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NICE CG161 – Falls in Older People: Assessing Risk and Prevention</w:t>
      </w:r>
    </w:p>
    <w:p>
      <w:pPr>
        <w:spacing w:after="60" w:before="60"/>
      </w:pPr>
      <w:r>
        <w:rPr>
          <w:rFonts w:ascii="Arial" w:cs="Arial" w:eastAsia="Arial" w:hAnsi="Arial"/>
          <w:color w:val="333333"/>
          <w:sz w:val="20"/>
          <w:szCs w:val="20"/>
        </w:rPr>
        <w:t xml:space="preserve">•  NICE QS86 – Falls in Older People</w:t>
      </w:r>
    </w:p>
    <w:p>
      <w:pPr>
        <w:spacing w:after="60" w:before="60"/>
      </w:pPr>
      <w:r>
        <w:rPr>
          <w:rFonts w:ascii="Arial" w:cs="Arial" w:eastAsia="Arial" w:hAnsi="Arial"/>
          <w:color w:val="333333"/>
          <w:sz w:val="20"/>
          <w:szCs w:val="20"/>
        </w:rPr>
        <w:t xml:space="preserve">•  RIDDOR 2013 (SI 2013/1471)</w:t>
      </w:r>
    </w:p>
    <w:p>
      <w:pPr>
        <w:spacing w:after="60" w:before="60"/>
      </w:pPr>
      <w:r>
        <w:rPr>
          <w:rFonts w:ascii="Arial" w:cs="Arial" w:eastAsia="Arial" w:hAnsi="Arial"/>
          <w:color w:val="333333"/>
          <w:sz w:val="20"/>
          <w:szCs w:val="20"/>
        </w:rPr>
        <w:t xml:space="preserve">•  CQC Registration Regulations 2009 – Regulation 18 (Notifications)</w:t>
      </w:r>
    </w:p>
    <w:p>
      <w:pPr>
        <w:spacing w:after="60" w:before="60"/>
      </w:pPr>
      <w:r>
        <w:rPr>
          <w:rFonts w:ascii="Arial" w:cs="Arial" w:eastAsia="Arial" w:hAnsi="Arial"/>
          <w:color w:val="333333"/>
          <w:sz w:val="20"/>
          <w:szCs w:val="20"/>
        </w:rPr>
        <w:t xml:space="preserve">•  LOLER 1998 – post-fall retrieval equipment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Unassessed or unmanaged falls risk</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Falls risk assessment within 24 hours of admission using validated tool; monthly review; reassessment after every fall; multifactorial intervention plan documented in care plan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NICE CG161 full multifactorial assessment for medium/high risk; dedicated falls lead appointed; falls prevention care plan linked to main care plan; outcome tracking per resident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Environmental trip and slip hazards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 Visitors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Daily environmental walkround by shift leader; wet floor signage; contrast strips on steps; adequate lighting including night lighting; clutter-free corridors; non-slip flooring</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Annual environmental falls hazard audit by H&amp;S lead; night lighting assessment; bathroom grab rail review; maintenance response target 24 hours; external pathway gritting in winter</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Medication-related falls (sedatives, antihypertensives, polypharmacy)</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GP medication review at least annually; falls-implicated medications flagged in care plan; postural hypotension screening; PRN sedative usage monitored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Pharmacist-led falls medication review for all residents who fall; STOPP/START criteria; lying and standing BP protocol for at-risk residents; medication documented as factor in post-fall review</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Falls resulting in fracture (hip / NOF / wrist / vertebral)</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Hip protectors offered to high-risk residents; low-profile beds available; crash mats (individually risk-assessed); osteoporosis screening and management via GP; calcium and vitamin D supplementation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FRAX score assessment for all residents on admission; bone health referral pathway; fracture liaison service referral post-fracture; falls rate benchmarking per 1,000 occupied bed days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Falls resulting in head injury</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Post-fall neurological observation protocol (GCS); NICE CG176 head injury pathway adapted for care home; 999 called for loss of consciousness, confusion, or vomiting; anticoagulant status checked immediately</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Head injury observation chart; anticoagulant register maintained; CT scan threshold guidance; staff competency in GCS assessment; 72-hour enhanced observation for anticoagulated fallers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Repeat / recurrent falls (3+ in 30 days)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Falls trend analysis identifies repeat fallers; MDT review triggered at 3rd fall in 30 days; care plan updated; equipment and environment reviewed</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Falls case conference with GP, physiotherapy, OT, pharmacy; 1:1 supervision consideration; assistive technology (sensor mats, movement sensors); specialist falls clinic referral</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Inadequate post-fall management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Post-fall checklist completed for every fall; body map documented; neurological observations commenced where indicated; GP/ambulance called per protocol; family notified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Post-fall debrief within 24 hours; root cause analysis for all injurious falls; investigation completed within 48 hours; RIDDOR and CQC notification pathway documented</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Lack of post-fall retrieval equipment or training</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Inflatable lifting cushion (e.g., Mangar ELK) available on each floor; staff trained at induction; drag lifts strictly prohibited; equipment checked monthly</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Retrieval equipment drill quarterly; LOLER compliance for powered lifting devices; spare equipment available; equipment use documented in incident report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Falls are the most common cause of injury-related death in people over 75 in the UK. Falls resulting in fracture or significant injury must be reported to CQC via statutory notification and to RIDDOR where applicable (death, specified injury, or over-7-day incapacitation of a resident). Falls data should be analysed monthly (rate per 1,000 occupied bed days) and benchmarked. A multidisciplinary approach is essential.</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BS-CH-RA-004</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2026-05-15T11:07:39.317Z</dcterms:created>
  <dcterms:modified xsi:type="dcterms:W3CDTF">2026-05-15T11:07:39.317Z</dcterms:modified>
</cp:coreProperties>
</file>

<file path=docProps/custom.xml><?xml version="1.0" encoding="utf-8"?>
<Properties xmlns="http://schemas.openxmlformats.org/officeDocument/2006/custom-properties" xmlns:vt="http://schemas.openxmlformats.org/officeDocument/2006/docPropsVTypes"/>
</file>