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D3A"/>
          <w:sz w:val="36"/>
          <w:szCs w:val="36"/>
        </w:rPr>
        <w:t xml:space="preserve">RISK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AF37"/>
          <w:sz w:val="28"/>
          <w:szCs w:val="28"/>
        </w:rPr>
        <w:t xml:space="preserve">FIRE SAFETY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Document Reference: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BS-CH-RA-007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Assessment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Review Date: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[DD/MM/YYYY]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Assessor: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Name]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[Insert Care Home Name &amp; Address]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D3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1.0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1. Purpose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identify, evaluate and mitigate fire safety risks within the care home, ensuring the safety of all persons and compliance with the Regulatory Reform (Fire Safety) Order 2005.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2. Scope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assessment covers ignition sources, fuel sources, means of escape, fire detection and alarm systems, firefighting equipment, evacuation of mobility/cognitively impaired residents, training, and arson. It applies to all persons on premises.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3. Legal &amp; Regulatory Framework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Regulatory Reform (Fire Safety) Order 2005 – Articles 8–22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Fire Safety Act 2021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Fire Safety (England) Regulations 2022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Safety at Work etc. Act 1974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Health and Social Care Act 2008 (Regulated Activities) Regulations 2014 – Regulation 12 &amp; 15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Building Regulations 2010 – Part B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BS 5839-1:2017 – Fire Detection and Alarm Systems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 BS 5266-1:2016 – Emergency Lighting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4. Risk Rating Matrix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is calculated as Likelihood (L) × Severity (S). The following colour-coded matrix defines action thresholds: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507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 (L)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 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 (L×S)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– no immediate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2–3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5–12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Controls required; review quarterly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4–5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13–25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50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action; cease activity until controlled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5. Hazard Identification &amp; Control Measures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  <w:gridCol w:w="3200"/>
        <w:gridCol w:w="800"/>
        <w:gridCol w:w="800"/>
        <w:gridCol w:w="900"/>
        <w:gridCol w:w="157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Hazard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Is at 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Existing Controls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Additional Controls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Rating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 in resident bedroom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PAT testing annually; no smoking policy (designated external area); fire-retardant furnishings/bedding (BS 7177); automatic fire detection in every room; self-closing fire doors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Smoking risk assessment per resident; electrical equipment register; night bedroom checks; fire-retardant compliance audit; personal item condition check on admission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 in kitchen / laundry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Kitchen extraction with suppression system; deep fat fryer thermostat; laundry lint filters cleaned daily; fire blanket and CO2 extinguisher in kitchen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Extraction duct cleaning six-monthly; laundry maintenance schedule; out-of-hours cooking prohibition; kitchen-specific fire procedure displayed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Failure to evacuate immobile residents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PEEP for each resident; ski sheets on each floor; evacuation chairs at stairwells; progressive horizontal evacuation strategy; adequate night staffing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Evacuation drill quarterly (including night); PEEP reviewed monthly; equipment training for all staff; fire service liaison for pre-incident planning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Cognitively impaired residents during evacuation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Residents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PEEP addresses cognitive needs; reassurance techniques trained; familiar staff allocated; buddy system for night evacuation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Dementia-friendly signage; visual alarm indicators; assembly point orientation; fire drill debrief includes cognitive care review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12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 detection / alarm system failure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L1 category system (BS 5839-1); weekly test; six-monthly service; annual full test; 24/7 fault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Backup standalone detectors; system upgrade plan; guaranteed-response maintenance contract; weekly test log signed by manager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Blocked / inadequate means of escape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Daily fire exit checks; emergency lighting monthly test; illuminated signage; corridors kept clear; fire doors maintained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Annual FRA by competent assessor; fire door survey annually; escape route timing exercise; defective door repair within 24 hours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10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External bins stored away from building; secure entry; CCTV; grounds maintenance; no combustible material against building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Arson addressed in FRA; letterbox protection; night security review; police/fire intelligence liaison; external lighting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5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Untrained staff / poor drill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All persons on premises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Fire training at induction; annual refresher; fire action notices; fire marshal per shift; procedure in staff handbook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Unannounced drill quarterly with debrief log; new staff competency within first week; agency staff fire briefing on first shift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8</w:t>
            </w:r>
          </w:p>
        </w:tc>
        <w:tc>
          <w:tcPr>
            <w:tcW w:type="dxa" w:w="15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MEDIUM</w:t>
            </w:r>
          </w:p>
        </w:tc>
      </w:tr>
    </w:tbl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6. Additional Notes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Responsible Person under the RRO 2005 is [Insert Name]. A fire risk assessment by a competent person must be reviewed annually. The home must operate progressive horizontal evacuation. All fire equipment maintained per British Standards.</w:t>
      </w:r>
    </w:p>
    <w:p>
      <w:pPr>
        <w:pBdr>
          <w:bottom w:val="single" w:color="D4AF37" w:sz="6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0B1D3A"/>
          <w:sz w:val="24"/>
          <w:szCs w:val="24"/>
        </w:rPr>
        <w:t xml:space="preserve">7. Sign-Off &amp; Approval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risk assessment has been reviewed and approved by the undersigned. It shall be reviewed at least annually or following any significant incident, change in legislation, or operational modification.</w:t>
      </w:r>
    </w:p>
    <w:p>
      <w:pPr>
        <w:spacing w:after="100" w:before="100"/>
      </w:pP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3670"/>
        <w:gridCol w:w="3670"/>
        <w:gridCol w:w="3669"/>
      </w:tblGrid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D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Assessor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Registered Manager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H&amp;S Lead / Responsible Individual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[Insert Name]</w:t>
            </w:r>
          </w:p>
        </w:tc>
        <w:tc>
          <w:tcPr>
            <w:tcW w:type="dxa" w:w="36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/>
            </w:r>
          </w:p>
        </w:tc>
        <w:tc>
          <w:tcPr>
            <w:tcW w:type="dxa" w:w="36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0" w:before="2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D4AF37"/>
          <w:sz w:val="16"/>
          <w:szCs w:val="16"/>
        </w:rPr>
        <w:t xml:space="preserve">Barker Scott – Care Home Compliance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0B1D3A"/>
          <w:sz w:val="16"/>
          <w:szCs w:val="16"/>
        </w:rPr>
        <w:t xml:space="preserve">barker-scott.co.uk</w:t>
      </w:r>
    </w:p>
    <w:sectPr>
      <w:headerReference w:type="default" r:id="rId7"/>
      <w:footerReference w:type="default" r:id="rId8"/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4" w:space="1"/>
      </w:pBdr>
      <w:tabs>
        <w:tab w:val="right" w:pos="14678"/>
      </w:tabs>
      <w:spacing w:before="80"/>
    </w:pPr>
    <w:r>
      <w:rPr>
        <w:rFonts w:ascii="Arial" w:cs="Arial" w:eastAsia="Arial" w:hAnsi="Arial"/>
        <w:color w:val="0B1D3A"/>
        <w:sz w:val="16"/>
        <w:szCs w:val="16"/>
      </w:rPr>
      <w:t xml:space="preserve">BS-CH-RA-007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b/>
        <w:bCs/>
        <w:color w:val="0B1D3A"/>
        <w:sz w:val="28"/>
        <w:szCs w:val="28"/>
      </w:rPr>
      <w:t xml:space="preserve">BARKER SCOTT</w:t>
    </w:r>
    <w:r>
      <w:rPr>
        <w:rFonts w:ascii="Arial" w:cs="Arial" w:eastAsia="Arial" w:hAnsi="Arial"/>
        <w:color w:val="D4AF37"/>
        <w:sz w:val="20"/>
        <w:szCs w:val="20"/>
      </w:rPr>
      <w:t xml:space="preserve">  |  </w:t>
    </w:r>
    <w:r>
      <w:rPr>
        <w:rFonts w:ascii="Arial" w:cs="Arial" w:eastAsia="Arial" w:hAnsi="Arial"/>
        <w:i/>
        <w:iCs/>
        <w:color w:val="D4AF37"/>
        <w:sz w:val="20"/>
        <w:szCs w:val="20"/>
      </w:rPr>
      <w:t xml:space="preserve">Care Home Risk Assessment</w:t>
    </w:r>
  </w:p>
  <w:p>
    <w:pPr>
      <w:pBdr>
        <w:bottom w:val="single" w:color="D4AF37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2026-05-15T11:13:36.555Z</dcterms:created>
  <dcterms:modified xsi:type="dcterms:W3CDTF">2026-05-15T11:13:36.555Z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