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INFECTION PREVENTION &amp; CONTROL</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BS-CH-RA-006</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Care Home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infection prevention and control within the care home, protecting residents, staff, visitors, and the wider community from healthcare-associated infections.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all IPC risks including hand hygiene, PPE, environmental cleaning, clinical waste, laundry, food hygiene, respiratory and gastrointestinal infections, UTIs, wound management, and outbreak management. It applies to all staff, visitors, and contractors.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Social Care Act 2008 (Regulated Activities) Regulations 2014 – Regulation 12 &amp; 15</w:t>
      </w:r>
    </w:p>
    <w:p>
      <w:pPr>
        <w:spacing w:after="60" w:before="60"/>
      </w:pPr>
      <w:r>
        <w:rPr>
          <w:rFonts w:ascii="Arial" w:cs="Arial" w:eastAsia="Arial" w:hAnsi="Arial"/>
          <w:color w:val="333333"/>
          <w:sz w:val="20"/>
          <w:szCs w:val="20"/>
        </w:rPr>
        <w:t xml:space="preserve">•  The Health and Social Care Act 2008 Code of Practice on the Prevention and Control of Infections 2022</w:t>
      </w:r>
    </w:p>
    <w:p>
      <w:pPr>
        <w:spacing w:after="60" w:before="60"/>
      </w:pPr>
      <w:r>
        <w:rPr>
          <w:rFonts w:ascii="Arial" w:cs="Arial" w:eastAsia="Arial" w:hAnsi="Arial"/>
          <w:color w:val="333333"/>
          <w:sz w:val="20"/>
          <w:szCs w:val="20"/>
        </w:rPr>
        <w:t xml:space="preserve">•  COSHH Regulations 2002</w:t>
      </w:r>
    </w:p>
    <w:p>
      <w:pPr>
        <w:spacing w:after="60" w:before="60"/>
      </w:pPr>
      <w:r>
        <w:rPr>
          <w:rFonts w:ascii="Arial" w:cs="Arial" w:eastAsia="Arial" w:hAnsi="Arial"/>
          <w:color w:val="333333"/>
          <w:sz w:val="20"/>
          <w:szCs w:val="20"/>
        </w:rPr>
        <w:t xml:space="preserve">•  The Health Protection (Notification) Regulations 2010</w:t>
      </w:r>
    </w:p>
    <w:p>
      <w:pPr>
        <w:spacing w:after="60" w:before="60"/>
      </w:pPr>
      <w:r>
        <w:rPr>
          <w:rFonts w:ascii="Arial" w:cs="Arial" w:eastAsia="Arial" w:hAnsi="Arial"/>
          <w:color w:val="333333"/>
          <w:sz w:val="20"/>
          <w:szCs w:val="20"/>
        </w:rPr>
        <w:t xml:space="preserve">•  Hazardous Waste Regulations 2005</w:t>
      </w:r>
    </w:p>
    <w:p>
      <w:pPr>
        <w:spacing w:after="60" w:before="60"/>
      </w:pPr>
      <w:r>
        <w:rPr>
          <w:rFonts w:ascii="Arial" w:cs="Arial" w:eastAsia="Arial" w:hAnsi="Arial"/>
          <w:color w:val="333333"/>
          <w:sz w:val="20"/>
          <w:szCs w:val="20"/>
        </w:rPr>
        <w:t xml:space="preserve">•  Environmental Protection Act 1990 – Section 34</w:t>
      </w:r>
    </w:p>
    <w:p>
      <w:pPr>
        <w:spacing w:after="60" w:before="60"/>
      </w:pPr>
      <w:r>
        <w:rPr>
          <w:rFonts w:ascii="Arial" w:cs="Arial" w:eastAsia="Arial" w:hAnsi="Arial"/>
          <w:color w:val="333333"/>
          <w:sz w:val="20"/>
          <w:szCs w:val="20"/>
        </w:rPr>
        <w:t xml:space="preserve">•  Food Safety Act 1990 &amp; Food Hygiene Regulations 2006</w:t>
      </w:r>
    </w:p>
    <w:p>
      <w:pPr>
        <w:spacing w:after="60" w:before="60"/>
      </w:pPr>
      <w:r>
        <w:rPr>
          <w:rFonts w:ascii="Arial" w:cs="Arial" w:eastAsia="Arial" w:hAnsi="Arial"/>
          <w:color w:val="333333"/>
          <w:sz w:val="20"/>
          <w:szCs w:val="20"/>
        </w:rPr>
        <w:t xml:space="preserve">•  PPE at Work Regulations 1992</w:t>
      </w:r>
    </w:p>
    <w:p>
      <w:pPr>
        <w:spacing w:after="60" w:before="60"/>
      </w:pPr>
      <w:r>
        <w:rPr>
          <w:rFonts w:ascii="Arial" w:cs="Arial" w:eastAsia="Arial" w:hAnsi="Arial"/>
          <w:color w:val="333333"/>
          <w:sz w:val="20"/>
          <w:szCs w:val="20"/>
        </w:rPr>
        <w:t xml:space="preserve">•  UKHSA IPC Guidance for Care Homes (2024)</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Respiratory infection outbreak (flu, COVID-19, RSV)</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 Visitors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Annual flu vaccination programme; respiratory hygiene signage; isolation/cohorting protocol; ventilation assessment; PPE stock (4 weeks minimum)</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Outbreak management plan; UKHSA notification within 24 hours; antiviral prophylaxis pathway; visitor restriction protocol; enhanced cleaning regime</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12</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Gastrointestinal outbreak (Norovirus, C. difficile)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Hand washing (not ABHR) for GI symptoms; isolation protocol; chlorine-based disinfectant (1,000ppm); 48-hour symptom-free return-to-work policy</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Stool sampling protocol; UKHSA notification; food handler exclusion; cohort nursing; outbreak meeting within 24 hours; post-outbreak deep clean</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12</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Poor hand hygiene compliance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 Visitors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ABHR at point of care and entrances; elbow-operated taps; WHO 5 Moments posters; bare below elbows policy; induction training</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Monthly hand hygiene audit (direct observation); compliance dashboard displayed; hand hygiene champion; visitor prompts; annual competency assessment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Catheter-associated UTI (CAUTI)</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Catheter care plan per resident; aseptic technique; hydration monitoring; catheter passport; continence assessment before catheterisation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Catheter prevalence audit quarterly; trial without catheter prompt; urine dipstick protocol; UTI surveillance analysis; continence promotion programme</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Wound infection / pressure ulcer infection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Wound care plan; aseptic non-touch technique; validated wound assessment (TIMES); TVN referral pathway; pressure ulcer prevention protocol</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Wound infection surveillance; antimicrobial stewardship; swab-before-prescribing; wound photography; pressure ulcer RCA for Category 3+</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Contaminated environment</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 Visitors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Cleaning schedule (daily and deep clean); BS EN compliant disinfectants; colour-coded equipment; trained housekeeping staff; admission deep clean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ATP bioluminescence quarterly; monthly cleaning audit; Registered Manager spot checks; cleaning contractor SLA review annually</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Clinical waste mismanagement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Staff, Public, Environment</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Colour-coded waste streams; sharps bins in clinical areas; licensed waste contractor; induction training; consignment notes maintained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Waste audit quarterly; spill kit per clinical area; annual refresher training; waste minimisation programme; duty of care audit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Antibiotic-resistant organisms (MRSA, ESBL, CPE)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Admission screening per local policy; isolation/enhanced precautions; MRSA decolonisation; antimicrobial stewardship; GP prescribing review</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AMR surveillance quarterly; staff screening if indicated; microbiology advice pathway; cohort nursing; antibiotic audit with pharmacy</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The Hygiene Code sets 10 criteria for CQC IPC assessment. The home must appoint an IPC Lead. All outbreaks must be notified to UKHSA and CQC. Antimicrobial stewardship principles must be implemented.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H&amp;S Lead / Responsible Individual</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BS-CH-RA-006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Care Home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2026-05-15T11:13:36.375Z</dcterms:created>
  <dcterms:modified xsi:type="dcterms:W3CDTF">2026-05-15T11:13:36.376Z</dcterms:modified>
</cp:coreProperties>
</file>

<file path=docProps/custom.xml><?xml version="1.0" encoding="utf-8"?>
<Properties xmlns="http://schemas.openxmlformats.org/officeDocument/2006/custom-properties" xmlns:vt="http://schemas.openxmlformats.org/officeDocument/2006/docPropsVTypes"/>
</file>