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MEDICATION MANAGEMENT</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BS-CH-RA-003</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Care Home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all aspects of medication management within the care home, ensuring the safe ordering, storage, administration, recording, and disposal of medicines.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administration errors, controlled drugs, storage, stock management, PRN medication, covert administration, topical medicines (TMAR), self-administration, and disposal. It applies to all staff involved in any aspect of medication management.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Social Care Act 2008 (Regulated Activities) Regulations 2014 – Regulation 12</w:t>
      </w:r>
    </w:p>
    <w:p>
      <w:pPr>
        <w:spacing w:after="60" w:before="60"/>
      </w:pPr>
      <w:r>
        <w:rPr>
          <w:rFonts w:ascii="Arial" w:cs="Arial" w:eastAsia="Arial" w:hAnsi="Arial"/>
          <w:color w:val="333333"/>
          <w:sz w:val="20"/>
          <w:szCs w:val="20"/>
        </w:rPr>
        <w:t xml:space="preserve">•  The Human Medicines Regulations 2012 (SI 2012/1916)</w:t>
      </w:r>
    </w:p>
    <w:p>
      <w:pPr>
        <w:spacing w:after="60" w:before="60"/>
      </w:pPr>
      <w:r>
        <w:rPr>
          <w:rFonts w:ascii="Arial" w:cs="Arial" w:eastAsia="Arial" w:hAnsi="Arial"/>
          <w:color w:val="333333"/>
          <w:sz w:val="20"/>
          <w:szCs w:val="20"/>
        </w:rPr>
        <w:t xml:space="preserve">•  Misuse of Drugs Act 1971 &amp; Misuse of Drugs Regulations 2001 (SI 2001/3998)</w:t>
      </w:r>
    </w:p>
    <w:p>
      <w:pPr>
        <w:spacing w:after="60" w:before="60"/>
      </w:pPr>
      <w:r>
        <w:rPr>
          <w:rFonts w:ascii="Arial" w:cs="Arial" w:eastAsia="Arial" w:hAnsi="Arial"/>
          <w:color w:val="333333"/>
          <w:sz w:val="20"/>
          <w:szCs w:val="20"/>
        </w:rPr>
        <w:t xml:space="preserve">•  The Controlled Drugs (Supervision of Management and Use) Regulations 2013</w:t>
      </w:r>
    </w:p>
    <w:p>
      <w:pPr>
        <w:spacing w:after="60" w:before="60"/>
      </w:pPr>
      <w:r>
        <w:rPr>
          <w:rFonts w:ascii="Arial" w:cs="Arial" w:eastAsia="Arial" w:hAnsi="Arial"/>
          <w:color w:val="333333"/>
          <w:sz w:val="20"/>
          <w:szCs w:val="20"/>
        </w:rPr>
        <w:t xml:space="preserve">•  NICE SC1 – Managing Medicines in Care Homes</w:t>
      </w:r>
    </w:p>
    <w:p>
      <w:pPr>
        <w:spacing w:after="60" w:before="60"/>
      </w:pPr>
      <w:r>
        <w:rPr>
          <w:rFonts w:ascii="Arial" w:cs="Arial" w:eastAsia="Arial" w:hAnsi="Arial"/>
          <w:color w:val="333333"/>
          <w:sz w:val="20"/>
          <w:szCs w:val="20"/>
        </w:rPr>
        <w:t xml:space="preserve">•  NICE NG5 – Medicines Optimisation</w:t>
      </w:r>
    </w:p>
    <w:p>
      <w:pPr>
        <w:spacing w:after="60" w:before="60"/>
      </w:pPr>
      <w:r>
        <w:rPr>
          <w:rFonts w:ascii="Arial" w:cs="Arial" w:eastAsia="Arial" w:hAnsi="Arial"/>
          <w:color w:val="333333"/>
          <w:sz w:val="20"/>
          <w:szCs w:val="20"/>
        </w:rPr>
        <w:t xml:space="preserve">•  Mental Capacity Act 2005 – covert administration</w:t>
      </w:r>
    </w:p>
    <w:p>
      <w:pPr>
        <w:spacing w:after="60" w:before="60"/>
      </w:pPr>
      <w:r>
        <w:rPr>
          <w:rFonts w:ascii="Arial" w:cs="Arial" w:eastAsia="Arial" w:hAnsi="Arial"/>
          <w:color w:val="333333"/>
          <w:sz w:val="20"/>
          <w:szCs w:val="20"/>
        </w:rPr>
        <w:t xml:space="preserve">•  The Health Act 2006 – Controlled Drugs accountable officer</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Wrong medication / wrong dose / wrong resident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6 Rights applied at every administration; photo ID on MAR chart; medication competency assessment before administering; single-task focus during medication round</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Second-checker system for high-risk medicines (insulin, warfarin, opioids); protected medication round time; interruption-free zone signage; electronic MAR system consideration</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Missed / omitted dose</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MAR chart reviewed at end of each round; omission codes recorded with reason; Registered Manager reviews omissions daily; GP notified if clinically significant</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Missed dose escalation protocol (GP notification at defined threshold); omission trend analysis monthly; root cause investigation for repeat omissions; electronic alert system</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9</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Controlled drug discrepancy / theft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Two-person witnessed administration; CD register in bound book with ink entries; shift handover stock reconciliation; double-locked BS 2881 cupboard</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Random CD audit by Registered Manager; CD destruction witnessed by authorised person; discrepancy investigation protocol with CDAO notification; stock check at receipt</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Incorrect storage / temperature excursion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Fridge temperatures recorded twice daily (2–8°C); room temperature monitored; locked trolley/cupboard; CDs in separate double-locked cupboard; medication stored per licence</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Automated temperature monitoring with alerts; temperature excursion protocol (pharmacy contacted within 1 hour); thermometer calibration annually; storage audit monthly</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PRN medication overuse or underuse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Individual PRN protocols specifying indication, dose, frequency, maximum in 24 hours, and review date; PRN administered only in accordance with protocol; effectiveness documented</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PRN usage analysis monthly by Registered Manager; GP review triggered if frequent use; pain assessment tool used before PRN analgesics; PRN protocol review at minimum 3-monthly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Covert administration without proper authorisation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MCA assessment and best interests decision documented before any covert administration; GP written authorisation; pharmacist formulation advice; recorded on MAR and care plan</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Covert medication register reviewed monthly; ongoing need reassessed at every care plan review; IMCA referral for unbefriended residents; six-monthly compliance audit</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Medication interaction / polypharmacy risk</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GP medication review at least annually; pharmacist medication review; new medication checked against existing prescription; allergy and adverse reaction recorded on MAR</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STOPP/START criteria applied; polypharmacy flagged at ≥10 medicines; pharmacist-led structured medication review programme; deprescribing considered at each review</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Inadequate staff medication competency</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Competency assessment before first unsupervised round; induction training; annual refresher; supervised practice for new starters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Observed medication round as competency component; scenario-based assessment; competency failure triggers retraining and reassessment; agency staff competency verified on arrival</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Medication errors causing or potentially causing harm must be reported to CQC and to the resident’s GP. CD incidents must also be reported to the Controlled Drugs Accountable Officer at the local ICB. The home must follow NICE SC1 as its primary reference standard and participate in the supplying pharmacy’s annual audit.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H&amp;S Lead / Responsible Individual</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BS-CH-RA-003</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Care Home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2026-05-15T11:07:39.242Z</dcterms:created>
  <dcterms:modified xsi:type="dcterms:W3CDTF">2026-05-15T11:07:39.242Z</dcterms:modified>
</cp:coreProperties>
</file>

<file path=docProps/custom.xml><?xml version="1.0" encoding="utf-8"?>
<Properties xmlns="http://schemas.openxmlformats.org/officeDocument/2006/custom-properties" xmlns:vt="http://schemas.openxmlformats.org/officeDocument/2006/docPropsVTypes"/>
</file>