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rFonts w:ascii="Arial" w:cs="Arial" w:eastAsia="Arial" w:hAnsi="Arial"/>
          <w:b/>
          <w:bCs/>
          <w:color w:val="0B1D3A"/>
          <w:sz w:val="36"/>
          <w:szCs w:val="36"/>
        </w:rPr>
        <w:t xml:space="preserve">RISK ASSESSMENT</w:t>
      </w:r>
    </w:p>
    <w:p>
      <w:pPr>
        <w:spacing w:after="60" w:before="0"/>
        <w:jc w:val="center"/>
      </w:pPr>
      <w:r>
        <w:rPr>
          <w:rFonts w:ascii="Arial" w:cs="Arial" w:eastAsia="Arial" w:hAnsi="Arial"/>
          <w:b/>
          <w:bCs/>
          <w:color w:val="D4AF37"/>
          <w:sz w:val="28"/>
          <w:szCs w:val="28"/>
        </w:rPr>
        <w:t xml:space="preserve">MENTAL CAPACITY &amp; DEPRIVATION OF LIBERTY</w:t>
      </w:r>
    </w:p>
    <w:p>
      <w:pPr>
        <w:pBdr>
          <w:bottom w:val="single" w:color="D4AF37" w:sz="6" w:space="1"/>
        </w:pBdr>
        <w:spacing w:after="200" w:before="200"/>
      </w:pPr>
    </w:p>
    <w:p>
      <w:pPr>
        <w:spacing w:after="60" w:before="60"/>
      </w:pPr>
      <w:r>
        <w:rPr>
          <w:rFonts w:ascii="Arial" w:cs="Arial" w:eastAsia="Arial" w:hAnsi="Arial"/>
          <w:b/>
          <w:bCs/>
          <w:color w:val="0B1D3A"/>
          <w:sz w:val="20"/>
          <w:szCs w:val="20"/>
        </w:rPr>
        <w:t xml:space="preserve">Document Reference: </w:t>
      </w:r>
      <w:r>
        <w:rPr>
          <w:rFonts w:ascii="Arial" w:cs="Arial" w:eastAsia="Arial" w:hAnsi="Arial"/>
          <w:color w:val="333333"/>
          <w:sz w:val="20"/>
          <w:szCs w:val="20"/>
        </w:rPr>
        <w:t xml:space="preserve">BS-CH-RA-002</w:t>
      </w:r>
    </w:p>
    <w:p>
      <w:pPr>
        <w:spacing w:after="60" w:before="60"/>
      </w:pPr>
      <w:r>
        <w:rPr>
          <w:rFonts w:ascii="Arial" w:cs="Arial" w:eastAsia="Arial" w:hAnsi="Arial"/>
          <w:b/>
          <w:bCs/>
          <w:color w:val="0B1D3A"/>
          <w:sz w:val="20"/>
          <w:szCs w:val="20"/>
        </w:rPr>
        <w:t xml:space="preserve">Assessment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Review Date: </w:t>
      </w:r>
      <w:r>
        <w:rPr>
          <w:rFonts w:ascii="Arial" w:cs="Arial" w:eastAsia="Arial" w:hAnsi="Arial"/>
          <w:color w:val="333333"/>
          <w:sz w:val="20"/>
          <w:szCs w:val="20"/>
        </w:rPr>
        <w:t xml:space="preserve">[DD/MM/YYYY]</w:t>
      </w:r>
    </w:p>
    <w:p>
      <w:pPr>
        <w:spacing w:after="60" w:before="60"/>
      </w:pPr>
      <w:r>
        <w:rPr>
          <w:rFonts w:ascii="Arial" w:cs="Arial" w:eastAsia="Arial" w:hAnsi="Arial"/>
          <w:b/>
          <w:bCs/>
          <w:color w:val="0B1D3A"/>
          <w:sz w:val="20"/>
          <w:szCs w:val="20"/>
        </w:rPr>
        <w:t xml:space="preserve">Assessor: </w:t>
      </w:r>
      <w:r>
        <w:rPr>
          <w:rFonts w:ascii="Arial" w:cs="Arial" w:eastAsia="Arial" w:hAnsi="Arial"/>
          <w:color w:val="333333"/>
          <w:sz w:val="20"/>
          <w:szCs w:val="20"/>
        </w:rPr>
        <w:t xml:space="preserve">[Insert Name]</w:t>
      </w:r>
    </w:p>
    <w:p>
      <w:pPr>
        <w:spacing w:after="60" w:before="60"/>
      </w:pPr>
      <w:r>
        <w:rPr>
          <w:rFonts w:ascii="Arial" w:cs="Arial" w:eastAsia="Arial" w:hAnsi="Arial"/>
          <w:b/>
          <w:bCs/>
          <w:color w:val="0B1D3A"/>
          <w:sz w:val="20"/>
          <w:szCs w:val="20"/>
        </w:rPr>
        <w:t xml:space="preserve">Location: </w:t>
      </w:r>
      <w:r>
        <w:rPr>
          <w:rFonts w:ascii="Arial" w:cs="Arial" w:eastAsia="Arial" w:hAnsi="Arial"/>
          <w:color w:val="333333"/>
          <w:sz w:val="20"/>
          <w:szCs w:val="20"/>
        </w:rPr>
        <w:t xml:space="preserve">[Insert Care Home Name &amp; Address]</w:t>
      </w:r>
    </w:p>
    <w:p>
      <w:pPr>
        <w:spacing w:after="60" w:before="60"/>
      </w:pPr>
      <w:r>
        <w:rPr>
          <w:rFonts w:ascii="Arial" w:cs="Arial" w:eastAsia="Arial" w:hAnsi="Arial"/>
          <w:b/>
          <w:bCs/>
          <w:color w:val="0B1D3A"/>
          <w:sz w:val="20"/>
          <w:szCs w:val="20"/>
        </w:rPr>
        <w:t xml:space="preserve">Version: </w:t>
      </w:r>
      <w:r>
        <w:rPr>
          <w:rFonts w:ascii="Arial" w:cs="Arial" w:eastAsia="Arial" w:hAnsi="Arial"/>
          <w:color w:val="333333"/>
          <w:sz w:val="20"/>
          <w:szCs w:val="20"/>
        </w:rPr>
        <w:t xml:space="preserve">1.0</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1. Purpose</w:t>
      </w:r>
    </w:p>
    <w:p>
      <w:pPr>
        <w:spacing w:after="60" w:before="60"/>
      </w:pPr>
      <w:r>
        <w:rPr>
          <w:rFonts w:ascii="Arial" w:cs="Arial" w:eastAsia="Arial" w:hAnsi="Arial"/>
          <w:color w:val="333333"/>
          <w:sz w:val="20"/>
          <w:szCs w:val="20"/>
        </w:rPr>
        <w:t xml:space="preserve">To identify, evaluate and mitigate risks associated with mental capacity assessment, best interests decision-making, and deprivation of liberty within the care home, ensuring residents’ rights and freedoms are protected.</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2. Scope</w:t>
      </w:r>
    </w:p>
    <w:p>
      <w:pPr>
        <w:spacing w:after="60" w:before="60"/>
      </w:pPr>
      <w:r>
        <w:rPr>
          <w:rFonts w:ascii="Arial" w:cs="Arial" w:eastAsia="Arial" w:hAnsi="Arial"/>
          <w:color w:val="333333"/>
          <w:sz w:val="20"/>
          <w:szCs w:val="20"/>
        </w:rPr>
        <w:t xml:space="preserve">This assessment covers risks related to capacity assessment, best interests decisions, DoLS authorisation and renewal, use of restraint, locked doors, covert medication, and the rights of residents under the Human Rights Act 1998.</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3. Legal &amp; Regulatory Framework</w:t>
      </w:r>
    </w:p>
    <w:p>
      <w:pPr>
        <w:spacing w:after="60" w:before="60"/>
      </w:pPr>
      <w:r>
        <w:rPr>
          <w:rFonts w:ascii="Arial" w:cs="Arial" w:eastAsia="Arial" w:hAnsi="Arial"/>
          <w:color w:val="333333"/>
          <w:sz w:val="20"/>
          <w:szCs w:val="20"/>
        </w:rPr>
        <w:t xml:space="preserve">•  Mental Capacity Act 2005 – Sections 1–6, 44</w:t>
      </w:r>
    </w:p>
    <w:p>
      <w:pPr>
        <w:spacing w:after="60" w:before="60"/>
      </w:pPr>
      <w:r>
        <w:rPr>
          <w:rFonts w:ascii="Arial" w:cs="Arial" w:eastAsia="Arial" w:hAnsi="Arial"/>
          <w:color w:val="333333"/>
          <w:sz w:val="20"/>
          <w:szCs w:val="20"/>
        </w:rPr>
        <w:t xml:space="preserve">•  Mental Capacity Act 2005 Code of Practice (2007)</w:t>
      </w:r>
    </w:p>
    <w:p>
      <w:pPr>
        <w:spacing w:after="60" w:before="60"/>
      </w:pPr>
      <w:r>
        <w:rPr>
          <w:rFonts w:ascii="Arial" w:cs="Arial" w:eastAsia="Arial" w:hAnsi="Arial"/>
          <w:color w:val="333333"/>
          <w:sz w:val="20"/>
          <w:szCs w:val="20"/>
        </w:rPr>
        <w:t xml:space="preserve">•  Deprivation of Liberty Safeguards (Schedules A1 and 1A)</w:t>
      </w:r>
    </w:p>
    <w:p>
      <w:pPr>
        <w:spacing w:after="60" w:before="60"/>
      </w:pPr>
      <w:r>
        <w:rPr>
          <w:rFonts w:ascii="Arial" w:cs="Arial" w:eastAsia="Arial" w:hAnsi="Arial"/>
          <w:color w:val="333333"/>
          <w:sz w:val="20"/>
          <w:szCs w:val="20"/>
        </w:rPr>
        <w:t xml:space="preserve">•  Mental Capacity (Amendment) Act 2019 – Liberty Protection Safeguards (when commenced)</w:t>
      </w:r>
    </w:p>
    <w:p>
      <w:pPr>
        <w:spacing w:after="60" w:before="60"/>
      </w:pPr>
      <w:r>
        <w:rPr>
          <w:rFonts w:ascii="Arial" w:cs="Arial" w:eastAsia="Arial" w:hAnsi="Arial"/>
          <w:color w:val="333333"/>
          <w:sz w:val="20"/>
          <w:szCs w:val="20"/>
        </w:rPr>
        <w:t xml:space="preserve">•  Health and Social Care Act 2008 (Regulated Activities) Regulations 2014 – Regulations 11 &amp; 13</w:t>
      </w:r>
    </w:p>
    <w:p>
      <w:pPr>
        <w:spacing w:after="60" w:before="60"/>
      </w:pPr>
      <w:r>
        <w:rPr>
          <w:rFonts w:ascii="Arial" w:cs="Arial" w:eastAsia="Arial" w:hAnsi="Arial"/>
          <w:color w:val="333333"/>
          <w:sz w:val="20"/>
          <w:szCs w:val="20"/>
        </w:rPr>
        <w:t xml:space="preserve">•  Human Rights Act 1998 – Articles 5 &amp; 8</w:t>
      </w:r>
    </w:p>
    <w:p>
      <w:pPr>
        <w:spacing w:after="60" w:before="60"/>
      </w:pPr>
      <w:r>
        <w:rPr>
          <w:rFonts w:ascii="Arial" w:cs="Arial" w:eastAsia="Arial" w:hAnsi="Arial"/>
          <w:color w:val="333333"/>
          <w:sz w:val="20"/>
          <w:szCs w:val="20"/>
        </w:rPr>
        <w:t xml:space="preserve">•  Cheshire West and Chester Council v P [2014] UKSC 19</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4. Risk Rating Matrix</w:t>
      </w:r>
    </w:p>
    <w:p>
      <w:pPr>
        <w:spacing w:after="60" w:before="60"/>
      </w:pPr>
      <w:r>
        <w:rPr>
          <w:rFonts w:ascii="Arial" w:cs="Arial" w:eastAsia="Arial" w:hAnsi="Arial"/>
          <w:color w:val="333333"/>
          <w:sz w:val="20"/>
          <w:szCs w:val="20"/>
        </w:rPr>
        <w:t xml:space="preserve">Risk is calculated as Likelihood (L) × Severity (S). The following colour-coded matrix defines action thresholds: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gridCol w:w="5078"/>
      </w:tblGrid>
      <w:tr>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Likelihood (L)</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Severity (S)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Rating (L×S)</w:t>
            </w:r>
          </w:p>
        </w:tc>
        <w:tc>
          <w:tcPr>
            <w:tcW w:type="dxa" w:w="240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Risk Level</w:t>
            </w:r>
          </w:p>
        </w:tc>
        <w:tc>
          <w:tcPr>
            <w:tcW w:type="dxa" w:w="5078"/>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Action Required</w:t>
            </w:r>
          </w:p>
        </w:tc>
      </w:tr>
      <w:tr>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1–2</w:t>
            </w:r>
          </w:p>
        </w:tc>
        <w:tc>
          <w:tcPr>
            <w:tcW w:type="dxa" w:w="2400"/>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bCs/>
                <w:color w:val="27AE60"/>
                <w:sz w:val="18"/>
                <w:szCs w:val="18"/>
              </w:rPr>
              <w:t xml:space="preserve">1–4</w:t>
            </w:r>
          </w:p>
        </w:tc>
        <w:tc>
          <w:tcPr>
            <w:tcW w:type="dxa" w:w="2400"/>
            <w:tcBorders>
              <w:top w:val="single" w:color="CCCCCC" w:sz="1"/>
              <w:left w:val="single" w:color="CCCCCC" w:sz="1"/>
              <w:bottom w:val="single" w:color="CCCCCC" w:sz="1"/>
              <w:right w:val="single" w:color="CCCCCC" w:sz="1"/>
            </w:tcBorders>
            <w:shd w:fill="27AE60"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LOW</w:t>
            </w:r>
          </w:p>
        </w:tc>
        <w:tc>
          <w:tcPr>
            <w:tcW w:type="dxa" w:w="5078"/>
            <w:tcBorders>
              <w:top w:val="single" w:color="CCCCCC" w:sz="1"/>
              <w:left w:val="single" w:color="CCCCCC" w:sz="1"/>
              <w:bottom w:val="single" w:color="CCCCCC" w:sz="1"/>
              <w:right w:val="single" w:color="CCCCCC" w:sz="1"/>
            </w:tcBorders>
            <w:shd w:fill="E8F8F0"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Monitor – no immediate action</w:t>
            </w:r>
          </w:p>
        </w:tc>
      </w:tr>
      <w:tr>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2–3</w:t>
            </w:r>
          </w:p>
        </w:tc>
        <w:tc>
          <w:tcPr>
            <w:tcW w:type="dxa" w:w="2400"/>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bCs/>
                <w:color w:val="F39C12"/>
                <w:sz w:val="18"/>
                <w:szCs w:val="18"/>
              </w:rPr>
              <w:t xml:space="preserve">5–12</w:t>
            </w:r>
          </w:p>
        </w:tc>
        <w:tc>
          <w:tcPr>
            <w:tcW w:type="dxa" w:w="2400"/>
            <w:tcBorders>
              <w:top w:val="single" w:color="CCCCCC" w:sz="1"/>
              <w:left w:val="single" w:color="CCCCCC" w:sz="1"/>
              <w:bottom w:val="single" w:color="CCCCCC" w:sz="1"/>
              <w:right w:val="single" w:color="CCCCCC" w:sz="1"/>
            </w:tcBorders>
            <w:shd w:fill="F39C12"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MEDIUM</w:t>
            </w:r>
          </w:p>
        </w:tc>
        <w:tc>
          <w:tcPr>
            <w:tcW w:type="dxa" w:w="5078"/>
            <w:tcBorders>
              <w:top w:val="single" w:color="CCCCCC" w:sz="1"/>
              <w:left w:val="single" w:color="CCCCCC" w:sz="1"/>
              <w:bottom w:val="single" w:color="CCCCCC" w:sz="1"/>
              <w:right w:val="single" w:color="CCCCCC" w:sz="1"/>
            </w:tcBorders>
            <w:shd w:fill="FEF5E7"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Controls required; review quarterly</w:t>
            </w:r>
          </w:p>
        </w:tc>
      </w:tr>
      <w:tr>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4–5</w:t>
            </w:r>
          </w:p>
        </w:tc>
        <w:tc>
          <w:tcPr>
            <w:tcW w:type="dxa" w:w="2400"/>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bCs/>
                <w:color w:val="E74C3C"/>
                <w:sz w:val="18"/>
                <w:szCs w:val="18"/>
              </w:rPr>
              <w:t xml:space="preserve">13–25</w:t>
            </w:r>
          </w:p>
        </w:tc>
        <w:tc>
          <w:tcPr>
            <w:tcW w:type="dxa" w:w="2400"/>
            <w:tcBorders>
              <w:top w:val="single" w:color="CCCCCC" w:sz="1"/>
              <w:left w:val="single" w:color="CCCCCC" w:sz="1"/>
              <w:bottom w:val="single" w:color="CCCCCC" w:sz="1"/>
              <w:right w:val="single" w:color="CCCCCC" w:sz="1"/>
            </w:tcBorders>
            <w:shd w:fill="E74C3C"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HIGH</w:t>
            </w:r>
          </w:p>
        </w:tc>
        <w:tc>
          <w:tcPr>
            <w:tcW w:type="dxa" w:w="5078"/>
            <w:tcBorders>
              <w:top w:val="single" w:color="CCCCCC" w:sz="1"/>
              <w:left w:val="single" w:color="CCCCCC" w:sz="1"/>
              <w:bottom w:val="single" w:color="CCCCCC" w:sz="1"/>
              <w:right w:val="single" w:color="CCCCCC" w:sz="1"/>
            </w:tcBorders>
            <w:shd w:fill="FDEDEC" w:val="clear"/>
            <w:tcMar>
              <w:top w:type="dxa" w:w="60"/>
              <w:left w:type="dxa" w:w="100"/>
              <w:bottom w:type="dxa" w:w="60"/>
              <w:right w:type="dxa" w:w="100"/>
            </w:tcMar>
            <w:vAlign w:val="center"/>
          </w:tcPr>
          <w:p>
            <w:pPr>
              <w:jc w:val="center"/>
            </w:pPr>
            <w:r>
              <w:rPr>
                <w:rFonts w:ascii="Arial" w:cs="Arial" w:eastAsia="Arial" w:hAnsi="Arial"/>
                <w:b w:val="false"/>
                <w:bCs w:val="false"/>
                <w:color w:val="333333"/>
                <w:sz w:val="18"/>
                <w:szCs w:val="18"/>
              </w:rPr>
              <w:t xml:space="preserve">Immediate action; cease activity until controlled</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5. Hazard Identification &amp; Control Measures</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200"/>
        <w:gridCol w:w="3200"/>
        <w:gridCol w:w="800"/>
        <w:gridCol w:w="800"/>
        <w:gridCol w:w="900"/>
        <w:gridCol w:w="1578"/>
      </w:tblGrid>
      <w:tr>
        <w:tc>
          <w:tcPr>
            <w:tcW w:type="dxa" w:w="2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Hazard</w:t>
            </w:r>
          </w:p>
        </w:tc>
        <w:tc>
          <w:tcPr>
            <w:tcW w:type="dxa" w:w="20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Who Is at Risk</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Existing Controls</w:t>
            </w:r>
          </w:p>
        </w:tc>
        <w:tc>
          <w:tcPr>
            <w:tcW w:type="dxa" w:w="32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Additional Controls</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L</w:t>
            </w:r>
          </w:p>
        </w:tc>
        <w:tc>
          <w:tcPr>
            <w:tcW w:type="dxa" w:w="8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S</w:t>
            </w:r>
          </w:p>
        </w:tc>
        <w:tc>
          <w:tcPr>
            <w:tcW w:type="dxa" w:w="900"/>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Rating</w:t>
            </w:r>
          </w:p>
        </w:tc>
        <w:tc>
          <w:tcPr>
            <w:tcW w:type="dxa" w:w="1578"/>
            <w:tcBorders>
              <w:top w:val="single" w:color="CCCCCC" w:sz="1"/>
              <w:left w:val="single" w:color="CCCCCC" w:sz="1"/>
              <w:bottom w:val="single" w:color="CCCCCC" w:sz="1"/>
              <w:right w:val="single" w:color="CCCCCC" w:sz="1"/>
            </w:tcBorders>
            <w:shd w:fill="0B1D3A" w:val="clear"/>
            <w:tcMar>
              <w:top w:type="dxa" w:w="60"/>
              <w:left w:type="dxa" w:w="80"/>
              <w:bottom w:type="dxa" w:w="60"/>
              <w:right w:type="dxa" w:w="80"/>
            </w:tcMar>
            <w:vAlign w:val="center"/>
          </w:tcPr>
          <w:p>
            <w:pPr>
              <w:jc w:val="center"/>
            </w:pPr>
            <w:r>
              <w:rPr>
                <w:rFonts w:ascii="Arial" w:cs="Arial" w:eastAsia="Arial" w:hAnsi="Arial"/>
                <w:b/>
                <w:bCs/>
                <w:color w:val="FFFFFF"/>
                <w:sz w:val="17"/>
                <w:szCs w:val="17"/>
              </w:rPr>
              <w:t xml:space="preserve">Risk Level</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Unlawful deprivation of liberty (no DoLS authorisation in place)</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DoLS register maintained with expiry tracker (28-day advance alert); applications submitted to Supervisory Body; urgent authorisations used when needed; Registered Manager oversight</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Monthly DoLS register audit; legal advice for complex cases; CQC statutory notifications; staff awareness of Cheshire West acid test; DoLS dashboard in manager’s office</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5</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10</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Blanket assumption of incapacity</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MCA training at induction and annually; decision-specific, time-specific assessments embedded; five statutory principles displayed in staff areas; case-based supervision discussions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Quarterly capacity assessment quality audit; resident involvement in care decisions audited; IMCA referral where unbefriended; family feedback on involvement; MCA champion appointed</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Best interests decisions without proper consultation</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MCA Section 4 checklist used; consultation with family, IMCA, LPA attorneys documented; least restrictive option considered and recorded</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Best interests decision audit quarterly; IMCA referral pathway poster; staff competency assessment; legal advice for complex medical decisions; template improved annually</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Inappropriate use of physical restraint</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 Staff</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Restraint used only as last resort, minimum duration; documented in care plan and incident report; de-escalation techniques trained; positive behaviour support plans in place</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Restraint incident analysis quarterly; restraint reduction programme with targets; independent review; body-worn camera policy consideration; NICE NG10 applied</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Covert medication without proper authority</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MCA assessment and best interests decision required before covert administration; GP written authorisation; pharmacist advice on formulation; documented on MAR chart and care plan</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Covert medication register reviewed monthly; ongoing necessity reviewed at each care plan review; IMCA involvement where no family; compliance audit six-monthly</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Locked doors restricting liberty without authorisation</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DoLS authorisation obtained where acid test met; keypad codes available to residents with capacity; individual assessment of door security needs; risk–benefit analysis documented</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Environmental liberty audit annually; assistive technology review (GPS trackers with consent); least restrictive alternatives explored; signage for exit routes</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Staff lack of MCA/DoLS knowledge</w:t>
            </w:r>
          </w:p>
        </w:tc>
        <w:tc>
          <w:tcPr>
            <w:tcW w:type="dxa" w:w="20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MCA/DoLS training at induction; annual refresher; scenario-based learning; supervision discussions include MCA application</w:t>
            </w:r>
          </w:p>
        </w:tc>
        <w:tc>
          <w:tcPr>
            <w:tcW w:type="dxa" w:w="32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r>
              <w:rPr>
                <w:rFonts w:ascii="Arial" w:cs="Arial" w:eastAsia="Arial" w:hAnsi="Arial"/>
                <w:color w:val="333333"/>
                <w:sz w:val="17"/>
                <w:szCs w:val="17"/>
              </w:rPr>
              <w:t xml:space="preserve">MCA competency assessment annually; e-learning plus face-to-face training; MCA link worker/champion appointed; knowledge quiz after training; refresher triggered by incidents</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800"/>
            <w:tcBorders>
              <w:top w:val="single" w:color="CCCCCC" w:sz="1"/>
              <w:left w:val="single" w:color="CCCCCC" w:sz="1"/>
              <w:bottom w:val="single" w:color="CCCCCC" w:sz="1"/>
              <w:right w:val="single" w:color="CCCCCC" w:sz="1"/>
            </w:tcBorders>
            <w:shd w:fill="FFFFFF"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3</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9</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r>
        <w:tc>
          <w:tcPr>
            <w:tcW w:type="dxa" w:w="2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DoLS conditions not implemented</w:t>
            </w:r>
          </w:p>
        </w:tc>
        <w:tc>
          <w:tcPr>
            <w:tcW w:type="dxa" w:w="20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Residents</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Conditions documented in care plan; keyworker responsible for implementation; Registered Manager monitors compliance; conditions reviewed at each care plan review</w:t>
            </w:r>
          </w:p>
        </w:tc>
        <w:tc>
          <w:tcPr>
            <w:tcW w:type="dxa" w:w="32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r>
              <w:rPr>
                <w:rFonts w:ascii="Arial" w:cs="Arial" w:eastAsia="Arial" w:hAnsi="Arial"/>
                <w:color w:val="333333"/>
                <w:sz w:val="17"/>
                <w:szCs w:val="17"/>
              </w:rPr>
              <w:t xml:space="preserve">Conditions compliance checklist; Supervisory Body liaison; quarterly conditions audit; CQC notification of non-compliance; action plan for any unmet condition</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2</w:t>
            </w:r>
          </w:p>
        </w:tc>
        <w:tc>
          <w:tcPr>
            <w:tcW w:type="dxa" w:w="800"/>
            <w:tcBorders>
              <w:top w:val="single" w:color="CCCCCC" w:sz="1"/>
              <w:left w:val="single" w:color="CCCCCC" w:sz="1"/>
              <w:bottom w:val="single" w:color="CCCCCC" w:sz="1"/>
              <w:right w:val="single" w:color="CCCCCC" w:sz="1"/>
            </w:tcBorders>
            <w:shd w:fill="FDF6E3" w:val="clear"/>
            <w:tcMar>
              <w:top w:type="dxa" w:w="50"/>
              <w:left w:type="dxa" w:w="80"/>
              <w:bottom w:type="dxa" w:w="50"/>
              <w:right w:type="dxa" w:w="80"/>
            </w:tcMar>
            <w:vAlign w:val="center"/>
          </w:tcPr>
          <w:p>
            <w:pPr>
              <w:jc w:val="center"/>
            </w:pPr>
            <w:r>
              <w:rPr>
                <w:rFonts w:ascii="Arial" w:cs="Arial" w:eastAsia="Arial" w:hAnsi="Arial"/>
                <w:b w:val="false"/>
                <w:bCs w:val="false"/>
                <w:color w:val="333333"/>
                <w:sz w:val="17"/>
                <w:szCs w:val="17"/>
              </w:rPr>
              <w:t xml:space="preserve">4</w:t>
            </w:r>
          </w:p>
        </w:tc>
        <w:tc>
          <w:tcPr>
            <w:tcW w:type="dxa" w:w="900"/>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8</w:t>
            </w:r>
          </w:p>
        </w:tc>
        <w:tc>
          <w:tcPr>
            <w:tcW w:type="dxa" w:w="1578"/>
            <w:tcBorders>
              <w:top w:val="single" w:color="CCCCCC" w:sz="1"/>
              <w:left w:val="single" w:color="CCCCCC" w:sz="1"/>
              <w:bottom w:val="single" w:color="CCCCCC" w:sz="1"/>
              <w:right w:val="single" w:color="CCCCCC" w:sz="1"/>
            </w:tcBorders>
            <w:shd w:fill="FEF5E7" w:val="clear"/>
            <w:tcMar>
              <w:top w:type="dxa" w:w="50"/>
              <w:left w:type="dxa" w:w="80"/>
              <w:bottom w:type="dxa" w:w="50"/>
              <w:right w:type="dxa" w:w="80"/>
            </w:tcMar>
            <w:vAlign w:val="center"/>
          </w:tcPr>
          <w:p>
            <w:pPr>
              <w:jc w:val="center"/>
            </w:pPr>
            <w:r>
              <w:rPr>
                <w:rFonts w:ascii="Arial" w:cs="Arial" w:eastAsia="Arial" w:hAnsi="Arial"/>
                <w:b/>
                <w:bCs/>
                <w:color w:val="F39C12"/>
                <w:sz w:val="17"/>
                <w:szCs w:val="17"/>
              </w:rPr>
              <w:t xml:space="preserve">MEDIUM</w:t>
            </w:r>
          </w:p>
        </w:tc>
      </w:tr>
    </w:tbl>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6. Additional Notes</w:t>
      </w:r>
    </w:p>
    <w:p>
      <w:pPr>
        <w:spacing w:after="60" w:before="60"/>
      </w:pPr>
      <w:r>
        <w:rPr>
          <w:rFonts w:ascii="Arial" w:cs="Arial" w:eastAsia="Arial" w:hAnsi="Arial"/>
          <w:color w:val="333333"/>
          <w:sz w:val="20"/>
          <w:szCs w:val="20"/>
        </w:rPr>
        <w:t xml:space="preserve">Unlawful deprivation of liberty breaches Article 5 ECHR (as incorporated by the Human Rights Act 1998) and CQC Regulation 13. The Registered Manager must ensure all applications are made before or immediately upon identifying a deprivation. The home must prepare for Liberty Protection Safeguards under the Mental Capacity (Amendment) Act 2019 when commenced.</w:t>
      </w:r>
    </w:p>
    <w:p>
      <w:pPr>
        <w:pBdr>
          <w:bottom w:val="single" w:color="D4AF37" w:sz="6" w:space="1"/>
        </w:pBdr>
        <w:spacing w:after="200" w:before="200"/>
      </w:pPr>
    </w:p>
    <w:p>
      <w:pPr>
        <w:spacing w:after="120" w:before="300"/>
      </w:pPr>
      <w:r>
        <w:rPr>
          <w:rFonts w:ascii="Arial" w:cs="Arial" w:eastAsia="Arial" w:hAnsi="Arial"/>
          <w:b/>
          <w:bCs/>
          <w:color w:val="0B1D3A"/>
          <w:sz w:val="24"/>
          <w:szCs w:val="24"/>
        </w:rPr>
        <w:t xml:space="preserve">7. Sign-Off &amp; Approval</w:t>
      </w:r>
    </w:p>
    <w:p>
      <w:pPr>
        <w:spacing w:after="60" w:before="60"/>
      </w:pPr>
      <w:r>
        <w:rPr>
          <w:rFonts w:ascii="Arial" w:cs="Arial" w:eastAsia="Arial" w:hAnsi="Arial"/>
          <w:color w:val="333333"/>
          <w:sz w:val="20"/>
          <w:szCs w:val="20"/>
        </w:rPr>
        <w:t xml:space="preserve">This risk assessment has been reviewed and approved by the undersigned. It shall be reviewed at least annually or following any significant incident, change in legislation, or operational modification.</w:t>
      </w:r>
    </w:p>
    <w:p>
      <w:pPr>
        <w:spacing w:after="100" w:before="10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3669"/>
        <w:gridCol w:w="3670"/>
        <w:gridCol w:w="3670"/>
        <w:gridCol w:w="3669"/>
      </w:tblGrid>
      <w:tr>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Role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Name</w:t>
            </w:r>
          </w:p>
        </w:tc>
        <w:tc>
          <w:tcPr>
            <w:tcW w:type="dxa" w:w="3670"/>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Signature</w:t>
            </w:r>
          </w:p>
        </w:tc>
        <w:tc>
          <w:tcPr>
            <w:tcW w:type="dxa" w:w="3669"/>
            <w:tcBorders>
              <w:top w:val="single" w:color="CCCCCC" w:sz="1"/>
              <w:left w:val="single" w:color="CCCCCC" w:sz="1"/>
              <w:bottom w:val="single" w:color="CCCCCC" w:sz="1"/>
              <w:right w:val="single" w:color="CCCCCC" w:sz="1"/>
            </w:tcBorders>
            <w:shd w:fill="0B1D3A"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Assessor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Registered Manager</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r>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H&amp;S Lead / Responsible Individual</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[Insert Name]</w:t>
            </w:r>
          </w:p>
        </w:tc>
        <w:tc>
          <w:tcPr>
            <w:tcW w:type="dxa" w:w="367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
            </w:r>
          </w:p>
        </w:tc>
        <w:tc>
          <w:tcPr>
            <w:tcW w:type="dxa" w:w="3669"/>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center"/>
          </w:tcPr>
          <w:p>
            <w:pPr>
              <w:jc w:val="center"/>
            </w:pPr>
            <w:r>
              <w:rPr>
                <w:rFonts w:ascii="Arial" w:cs="Arial" w:eastAsia="Arial" w:hAnsi="Arial"/>
                <w:i/>
                <w:iCs/>
                <w:color w:val="666666"/>
                <w:sz w:val="18"/>
                <w:szCs w:val="18"/>
              </w:rPr>
              <w:t xml:space="preserve">[DD/MM/YYYY]</w:t>
            </w:r>
          </w:p>
        </w:tc>
      </w:tr>
    </w:tbl>
    <w:p>
      <w:pPr>
        <w:spacing w:after="0" w:before="200"/>
      </w:pPr>
    </w:p>
    <w:p>
      <w:pPr>
        <w:spacing w:after="0" w:before="100"/>
        <w:jc w:val="center"/>
      </w:pPr>
      <w:r>
        <w:rPr>
          <w:rFonts w:ascii="Arial" w:cs="Arial" w:eastAsia="Arial" w:hAnsi="Arial"/>
          <w:i/>
          <w:iCs/>
          <w:color w:val="D4AF37"/>
          <w:sz w:val="16"/>
          <w:szCs w:val="16"/>
        </w:rPr>
        <w:t xml:space="preserve">Barker Scott – Care Home Compliance</w:t>
      </w:r>
    </w:p>
    <w:p>
      <w:pPr>
        <w:spacing w:after="0" w:before="40"/>
        <w:jc w:val="center"/>
      </w:pPr>
      <w:r>
        <w:rPr>
          <w:rFonts w:ascii="Arial" w:cs="Arial" w:eastAsia="Arial" w:hAnsi="Arial"/>
          <w:color w:val="0B1D3A"/>
          <w:sz w:val="16"/>
          <w:szCs w:val="16"/>
        </w:rPr>
        <w:t xml:space="preserve">barker-scott.co.uk</w:t>
      </w:r>
    </w:p>
    <w:sectPr>
      <w:headerReference w:type="default" r:id="rId7"/>
      <w:footerReference w:type="default" r:id="rId8"/>
      <w:pgSz w:w="16838" w:h="11906"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1"/>
      </w:pBdr>
      <w:tabs>
        <w:tab w:val="right" w:pos="14678"/>
      </w:tabs>
      <w:spacing w:before="80"/>
    </w:pPr>
    <w:r>
      <w:rPr>
        <w:rFonts w:ascii="Arial" w:cs="Arial" w:eastAsia="Arial" w:hAnsi="Arial"/>
        <w:color w:val="0B1D3A"/>
        <w:sz w:val="16"/>
        <w:szCs w:val="16"/>
      </w:rPr>
      <w:t xml:space="preserve">BS-CH-RA-002</w:t>
    </w:r>
    <w:r>
      <w:rPr>
        <w:rFonts w:ascii="Arial" w:cs="Arial" w:eastAsia="Arial" w:hAnsi="Arial"/>
        <w:sz w:val="16"/>
        <w:szCs w:val="16"/>
      </w:rP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of </w:t>
    </w:r>
    <w:r>
      <w:rPr>
        <w:rFonts w:ascii="Arial" w:cs="Arial" w:eastAsia="Arial" w:hAnsi="Arial"/>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jc w:val="left"/>
    </w:pPr>
    <w:r>
      <w:rPr>
        <w:rFonts w:ascii="Arial" w:cs="Arial" w:eastAsia="Arial" w:hAnsi="Arial"/>
        <w:b/>
        <w:bCs/>
        <w:color w:val="0B1D3A"/>
        <w:sz w:val="28"/>
        <w:szCs w:val="28"/>
      </w:rPr>
      <w:t xml:space="preserve">BARKER SCOTT</w:t>
    </w:r>
    <w:r>
      <w:rPr>
        <w:rFonts w:ascii="Arial" w:cs="Arial" w:eastAsia="Arial" w:hAnsi="Arial"/>
        <w:color w:val="D4AF37"/>
        <w:sz w:val="20"/>
        <w:szCs w:val="20"/>
      </w:rPr>
      <w:t xml:space="preserve">  |  </w:t>
    </w:r>
    <w:r>
      <w:rPr>
        <w:rFonts w:ascii="Arial" w:cs="Arial" w:eastAsia="Arial" w:hAnsi="Arial"/>
        <w:i/>
        <w:iCs/>
        <w:color w:val="D4AF37"/>
        <w:sz w:val="20"/>
        <w:szCs w:val="20"/>
      </w:rPr>
      <w:t xml:space="preserve">Care Home Risk Assessment</w:t>
    </w:r>
  </w:p>
  <w:p>
    <w:pPr>
      <w:pBdr>
        <w:bottom w:val="single" w:color="D4AF37" w:sz="6" w:space="1"/>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2026-05-15T11:07:39.134Z</dcterms:created>
  <dcterms:modified xsi:type="dcterms:W3CDTF">2026-05-15T11:07:39.134Z</dcterms:modified>
</cp:coreProperties>
</file>

<file path=docProps/custom.xml><?xml version="1.0" encoding="utf-8"?>
<Properties xmlns="http://schemas.openxmlformats.org/officeDocument/2006/custom-properties" xmlns:vt="http://schemas.openxmlformats.org/officeDocument/2006/docPropsVTypes"/>
</file>