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0B1D3A"/>
          <w:sz w:val="36"/>
          <w:szCs w:val="36"/>
        </w:rPr>
        <w:t xml:space="preserve">RISK ASSESSMENT</w:t>
      </w:r>
    </w:p>
    <w:p>
      <w:pPr>
        <w:spacing w:after="60" w:before="0"/>
        <w:jc w:val="center"/>
      </w:pPr>
      <w:r>
        <w:rPr>
          <w:rFonts w:ascii="Arial" w:cs="Arial" w:eastAsia="Arial" w:hAnsi="Arial"/>
          <w:b/>
          <w:bCs/>
          <w:color w:val="D4AF37"/>
          <w:sz w:val="28"/>
          <w:szCs w:val="28"/>
        </w:rPr>
        <w:t xml:space="preserve">MOVING &amp; HANDLING</w:t>
      </w:r>
    </w:p>
    <w:p>
      <w:pPr>
        <w:pBdr>
          <w:bottom w:val="single" w:color="D4AF37" w:sz="6" w:space="1"/>
        </w:pBdr>
        <w:spacing w:after="200" w:before="200"/>
      </w:pPr>
    </w:p>
    <w:p>
      <w:pPr>
        <w:spacing w:after="60" w:before="60"/>
      </w:pPr>
      <w:r>
        <w:rPr>
          <w:rFonts w:ascii="Arial" w:cs="Arial" w:eastAsia="Arial" w:hAnsi="Arial"/>
          <w:b/>
          <w:bCs/>
          <w:color w:val="0B1D3A"/>
          <w:sz w:val="20"/>
          <w:szCs w:val="20"/>
        </w:rPr>
        <w:t xml:space="preserve">Document Reference: </w:t>
      </w:r>
      <w:r>
        <w:rPr>
          <w:rFonts w:ascii="Arial" w:cs="Arial" w:eastAsia="Arial" w:hAnsi="Arial"/>
          <w:color w:val="333333"/>
          <w:sz w:val="20"/>
          <w:szCs w:val="20"/>
        </w:rPr>
        <w:t xml:space="preserve">BS-CH-RA-005</w:t>
      </w:r>
    </w:p>
    <w:p>
      <w:pPr>
        <w:spacing w:after="60" w:before="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before="60"/>
      </w:pPr>
      <w:r>
        <w:rPr>
          <w:rFonts w:ascii="Arial" w:cs="Arial" w:eastAsia="Arial" w:hAnsi="Arial"/>
          <w:b/>
          <w:bCs/>
          <w:color w:val="0B1D3A"/>
          <w:sz w:val="20"/>
          <w:szCs w:val="20"/>
        </w:rPr>
        <w:t xml:space="preserve">Location: </w:t>
      </w:r>
      <w:r>
        <w:rPr>
          <w:rFonts w:ascii="Arial" w:cs="Arial" w:eastAsia="Arial" w:hAnsi="Arial"/>
          <w:color w:val="333333"/>
          <w:sz w:val="20"/>
          <w:szCs w:val="20"/>
        </w:rPr>
        <w:t xml:space="preserve">[Insert Care Home Name &amp; Address]</w:t>
      </w:r>
    </w:p>
    <w:p>
      <w:pPr>
        <w:spacing w:after="60" w:before="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60" w:before="60"/>
      </w:pPr>
      <w:r>
        <w:rPr>
          <w:rFonts w:ascii="Arial" w:cs="Arial" w:eastAsia="Arial" w:hAnsi="Arial"/>
          <w:color w:val="333333"/>
          <w:sz w:val="20"/>
          <w:szCs w:val="20"/>
        </w:rPr>
        <w:t xml:space="preserve">To identify, evaluate and mitigate risks associated with the moving and handling of residents and loads within the care home, protecting residents from injury and distress, and staff from musculoskeletal disorders.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60" w:before="60"/>
      </w:pPr>
      <w:r>
        <w:rPr>
          <w:rFonts w:ascii="Arial" w:cs="Arial" w:eastAsia="Arial" w:hAnsi="Arial"/>
          <w:color w:val="333333"/>
          <w:sz w:val="20"/>
          <w:szCs w:val="20"/>
        </w:rPr>
        <w:t xml:space="preserve">This assessment covers all moving and handling tasks including transfers, repositioning, hoisting, wheelchair use, bathing, personal care assistance, emergency retrieval, bariatric handling, and the handling of loads (supplies, laundry, equipment). It applies to all staff.</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Legal &amp; Regulatory Framework</w:t>
      </w:r>
    </w:p>
    <w:p>
      <w:pPr>
        <w:spacing w:after="60" w:before="60"/>
      </w:pPr>
      <w:r>
        <w:rPr>
          <w:rFonts w:ascii="Arial" w:cs="Arial" w:eastAsia="Arial" w:hAnsi="Arial"/>
          <w:color w:val="333333"/>
          <w:sz w:val="20"/>
          <w:szCs w:val="20"/>
        </w:rPr>
        <w:t xml:space="preserve">•  Manual Handling Operations Regulations 1992 (SI 1992/2793, as amended 2002)</w:t>
      </w:r>
    </w:p>
    <w:p>
      <w:pPr>
        <w:spacing w:after="60" w:before="60"/>
      </w:pPr>
      <w:r>
        <w:rPr>
          <w:rFonts w:ascii="Arial" w:cs="Arial" w:eastAsia="Arial" w:hAnsi="Arial"/>
          <w:color w:val="333333"/>
          <w:sz w:val="20"/>
          <w:szCs w:val="20"/>
        </w:rPr>
        <w:t xml:space="preserve">•  Health and Safety at Work etc. Act 1974 – Sections 2 &amp; 3</w:t>
      </w:r>
    </w:p>
    <w:p>
      <w:pPr>
        <w:spacing w:after="60" w:before="60"/>
      </w:pPr>
      <w:r>
        <w:rPr>
          <w:rFonts w:ascii="Arial" w:cs="Arial" w:eastAsia="Arial" w:hAnsi="Arial"/>
          <w:color w:val="333333"/>
          <w:sz w:val="20"/>
          <w:szCs w:val="20"/>
        </w:rPr>
        <w:t xml:space="preserve">•  The Management of Health and Safety at Work Regulations 1999 (SI 1999/3242)</w:t>
      </w:r>
    </w:p>
    <w:p>
      <w:pPr>
        <w:spacing w:after="60" w:before="60"/>
      </w:pPr>
      <w:r>
        <w:rPr>
          <w:rFonts w:ascii="Arial" w:cs="Arial" w:eastAsia="Arial" w:hAnsi="Arial"/>
          <w:color w:val="333333"/>
          <w:sz w:val="20"/>
          <w:szCs w:val="20"/>
        </w:rPr>
        <w:t xml:space="preserve">•  Lifting Operations and Lifting Equipment Regulations 1998 (LOLER)</w:t>
      </w:r>
    </w:p>
    <w:p>
      <w:pPr>
        <w:spacing w:after="60" w:before="60"/>
      </w:pPr>
      <w:r>
        <w:rPr>
          <w:rFonts w:ascii="Arial" w:cs="Arial" w:eastAsia="Arial" w:hAnsi="Arial"/>
          <w:color w:val="333333"/>
          <w:sz w:val="20"/>
          <w:szCs w:val="20"/>
        </w:rPr>
        <w:t xml:space="preserve">•  Provision and Use of Work Equipment Regulations 1998 (PUWER)</w:t>
      </w:r>
    </w:p>
    <w:p>
      <w:pPr>
        <w:spacing w:after="60" w:before="60"/>
      </w:pPr>
      <w:r>
        <w:rPr>
          <w:rFonts w:ascii="Arial" w:cs="Arial" w:eastAsia="Arial" w:hAnsi="Arial"/>
          <w:color w:val="333333"/>
          <w:sz w:val="20"/>
          <w:szCs w:val="20"/>
        </w:rPr>
        <w:t xml:space="preserve">•  Health and Social Care Act 2008 (Regulated Activities) Regulations 2014 – Regulation 12 &amp; 15</w:t>
      </w:r>
    </w:p>
    <w:p>
      <w:pPr>
        <w:spacing w:after="60" w:before="60"/>
      </w:pPr>
      <w:r>
        <w:rPr>
          <w:rFonts w:ascii="Arial" w:cs="Arial" w:eastAsia="Arial" w:hAnsi="Arial"/>
          <w:color w:val="333333"/>
          <w:sz w:val="20"/>
          <w:szCs w:val="20"/>
        </w:rPr>
        <w:t xml:space="preserve">•  RIDDOR 2013 (SI 2013/1471)</w:t>
      </w:r>
    </w:p>
    <w:p>
      <w:pPr>
        <w:spacing w:after="60" w:before="60"/>
      </w:pPr>
      <w:r>
        <w:rPr>
          <w:rFonts w:ascii="Arial" w:cs="Arial" w:eastAsia="Arial" w:hAnsi="Arial"/>
          <w:color w:val="333333"/>
          <w:sz w:val="20"/>
          <w:szCs w:val="20"/>
        </w:rPr>
        <w:t xml:space="preserve">•  Human Rights Act 1998 – Articles 3 &amp; 8</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Rating Matrix</w:t>
      </w:r>
    </w:p>
    <w:p>
      <w:pPr>
        <w:spacing w:after="60" w:before="60"/>
      </w:pPr>
      <w:r>
        <w:rPr>
          <w:rFonts w:ascii="Arial" w:cs="Arial" w:eastAsia="Arial" w:hAnsi="Arial"/>
          <w:color w:val="333333"/>
          <w:sz w:val="20"/>
          <w:szCs w:val="20"/>
        </w:rPr>
        <w:t xml:space="preserve">Risk is calculated as Likelihood (L) × Severity (S). The following colour-coded matrix defines action thresholds: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5078"/>
      </w:tblGrid>
      <w:tr>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Likelihood (L)</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 (S)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 (L×S)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Level</w:t>
            </w:r>
          </w:p>
        </w:tc>
        <w:tc>
          <w:tcPr>
            <w:tcW w:type="dxa" w:w="50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1–4</w:t>
            </w:r>
          </w:p>
        </w:tc>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507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Monitor – no immediate action</w:t>
            </w:r>
          </w:p>
        </w:tc>
      </w:tr>
      <w:tr>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5–12</w:t>
            </w:r>
          </w:p>
        </w:tc>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5078"/>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Controls required; review quarterly</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13–25</w:t>
            </w:r>
          </w:p>
        </w:tc>
        <w:tc>
          <w:tcPr>
            <w:tcW w:type="dxa" w:w="2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5078"/>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Immediate action; cease activity until controlled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Hazard Identification &amp; Control Measures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3200"/>
        <w:gridCol w:w="800"/>
        <w:gridCol w:w="800"/>
        <w:gridCol w:w="900"/>
        <w:gridCol w:w="1578"/>
      </w:tblGrid>
      <w:tr>
        <w:tc>
          <w:tcPr>
            <w:tcW w:type="dxa" w:w="2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Hazard</w:t>
            </w:r>
          </w:p>
        </w:tc>
        <w:tc>
          <w:tcPr>
            <w:tcW w:type="dxa" w:w="20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Who Is at Risk</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Existing Controls</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Additional Controls</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w:t>
            </w:r>
          </w:p>
        </w:tc>
        <w:tc>
          <w:tcPr>
            <w:tcW w:type="dxa" w:w="9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Rating</w:t>
            </w:r>
          </w:p>
        </w:tc>
        <w:tc>
          <w:tcPr>
            <w:tcW w:type="dxa" w:w="1578"/>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Musculoskeletal injury to staff (back, shoulder, neck)</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Staff</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Moving and handling training at induction and annually; individual handling plan for every resident; mechanical aids provided (hoists, slide sheets, transfer boards); no manual lifting policy</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Practical competency assessment; staff MSK health surveillance; early symptom reporting encouraged; workload analysis to prevent fatigue; physiotherapy access for staff</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12</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Injury or distress to resident during transfer</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Individual handling assessment per resident; correct sling size and type; two-person handling for hoist transfers; verbal communication with resident throughout</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Handling plan reviewed after any incident; resident feedback on handling experience; comfort sling assessment; pain assessment before and after handling</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Hoist or sling failure / misuse</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6-monthly LOLER thorough examination by competent person; pre-use visual inspection by staff; slings individually allocated (single-patient use); model-specific training</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Equipment fault reporting log; immediate withdrawal of faulty equipment; spare hoist available; sling inspection record; safe working load clearly marked on all equipment</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5</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Drag lift or prohibited manual handling technique</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Drag lifts strictly prohibited; training covers all prohibited techniques; new staff supervised during handling tasks; policy states dismissal-level consequence</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Observed practice audit quarterly; handling technique included in supervision; disciplinary process for prohibited techniques; peer observation programme; whistleblowing route</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Insufficient staff for safe handling</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Handling plan specifies staff numbers required; staffing levels maintained per dependency tool; agency staff oriented to handling plans on arrival</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Staffing escalation protocol for handling-intensive periods (AM/PM personal care); handling dependency data informs staffing tool; minimum staffing never breached policy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Emergency handling (fallen resident, fire evacuation)</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Post-fall retrieval equipment on each floor; evacuation equipment (ski sheets, evac chairs) available; fire evacuation plan includes handling needs; PEEP for each resident</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Emergency handling drill quarterly; PEEP reviewed monthly; evacuation equipment training for all staff; bariatric evacuation plan where required; fire service pre-planning liaison</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Bariatric handling (residents over 130 kg)</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Bariatric equipment available (hoist, sling, bed, chair, commode); bariatric handling assessment completed; additional staff allocated; dignity considerations documented</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Specialist bariatric handling training; equipment hire arrangement for short-notice needs; ambulance service pre-alert plan; environmental assessment (door widths, floor loading)</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Failure to review handling plan after condition change</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Handling plan reviewed monthly and after any significant change (hospitalisation, deterioration, weight change, fall); keyworker responsible for updates; changes communicated at handover</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Change-of-condition trigger list for immediate reassessment; handling plan flagged on daily handover; physiotherapy/OT review pathway for complex changes; agency staff briefed on changes</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Additional Notes</w:t>
      </w:r>
    </w:p>
    <w:p>
      <w:pPr>
        <w:spacing w:after="60" w:before="60"/>
      </w:pPr>
      <w:r>
        <w:rPr>
          <w:rFonts w:ascii="Arial" w:cs="Arial" w:eastAsia="Arial" w:hAnsi="Arial"/>
          <w:color w:val="333333"/>
          <w:sz w:val="20"/>
          <w:szCs w:val="20"/>
        </w:rPr>
        <w:t xml:space="preserve">MSK disorders are the leading cause of sickness absence in the care sector. The home has a duty under MHOR 1992 to avoid hazardous manual handling so far as is reasonably practicable. All lifting equipment must undergo LOLER thorough examination at least every 6 months. Drag lifts are never permissible. RIDDOR reports must be submitted for any handling injury resulting in a specified injury or over-7-day incapacitation.</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 &amp; Approval</w:t>
      </w:r>
    </w:p>
    <w:p>
      <w:pPr>
        <w:spacing w:after="60" w:before="60"/>
      </w:pPr>
      <w:r>
        <w:rPr>
          <w:rFonts w:ascii="Arial" w:cs="Arial" w:eastAsia="Arial" w:hAnsi="Arial"/>
          <w:color w:val="333333"/>
          <w:sz w:val="20"/>
          <w:szCs w:val="20"/>
        </w:rPr>
        <w:t xml:space="preserve">This risk assessment has been reviewed and approved by the undersigned. It shall be reviewed at least annually or following any significant incident, change in legislation, or operational modification.</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70"/>
        <w:gridCol w:w="3670"/>
        <w:gridCol w:w="3669"/>
      </w:tblGrid>
      <w:tr>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Assessor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H&amp;S Lead / Responsible Individual</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200"/>
      </w:pPr>
    </w:p>
    <w:p>
      <w:pPr>
        <w:spacing w:after="0" w:before="100"/>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14678"/>
      </w:tabs>
      <w:spacing w:before="80"/>
    </w:pPr>
    <w:r>
      <w:rPr>
        <w:rFonts w:ascii="Arial" w:cs="Arial" w:eastAsia="Arial" w:hAnsi="Arial"/>
        <w:color w:val="0B1D3A"/>
        <w:sz w:val="16"/>
        <w:szCs w:val="16"/>
      </w:rPr>
      <w:t xml:space="preserve">BS-CH-RA-005</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i/>
        <w:iCs/>
        <w:color w:val="D4AF37"/>
        <w:sz w:val="20"/>
        <w:szCs w:val="20"/>
      </w:rPr>
      <w:t xml:space="preserve">Care Home Risk Assessment</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2026-05-15T11:07:39.396Z</dcterms:created>
  <dcterms:modified xsi:type="dcterms:W3CDTF">2026-05-15T11:07:39.396Z</dcterms:modified>
</cp:coreProperties>
</file>

<file path=docProps/custom.xml><?xml version="1.0" encoding="utf-8"?>
<Properties xmlns="http://schemas.openxmlformats.org/officeDocument/2006/custom-properties" xmlns:vt="http://schemas.openxmlformats.org/officeDocument/2006/docPropsVTypes"/>
</file>