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NUTRITION, HYDRATION &amp; CHOKING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Document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BS-CH-RA-008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Care Home Name &amp; Address]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1.0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identify, evaluate and mitigate risks associated with nutrition, hydration, and choking, ensuring residents receive adequate and appropriate food and fluid intake.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covers malnutrition, dehydration, dysphagia, choking, food allergies, IDDSI-modified diets, enteral feeding, mealtime assistance, and food safety. It applies to all care and catering staff.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Legal &amp; Regulatory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Social Care Act 2008 (Regulated Activities) Regulations 2014 – Regulation 14 &amp; 12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Food Safety Act 1990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Food Safety and Hygiene (England) Regulations 2013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NICE CG32 – Nutrition Support for Adults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NICE QS24 – Nutrition Support in Adults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Care Act 2014 – Section 1 (Wellbeing)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Mental Capacity Act 2005 – best interests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IDDSI Framework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Rating Matrix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is calculated as Likelihood (L) × Severity (S). The following colour-coded matrix defines action thresholds: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507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(L)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(L×S)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– no immediate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Controls required; review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13–25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action; cease activity until controlled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Hazard Identification &amp; Control Measures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  <w:gridCol w:w="800"/>
        <w:gridCol w:w="800"/>
        <w:gridCol w:w="900"/>
        <w:gridCol w:w="157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Is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Additional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Malnutrition / unintentional weight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MUST screening on admission and monthly; weekly weighing if at risk; food/fluid charts; dietitian referral; fortified diet options 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Food first protocol; nutritional supplement review; mealtime environment audit; food preference survey; kitchen-care liaison monthly; menu reviewed by dietitian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12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Dehydration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Fluid target per resident (minimum 1,500ml/day); fluid charts for at-risk; drinks round 6 times daily; hydration station in communal areas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Dehydration screening tool; UTI-hydration training; fluid audit monthly; hydration champion; modified vessels available; clinical dehydration signs training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12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Choking / aspiration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Dysphagia screening on admission; SALT referral; IDDSI-compliant diets/fluids; mealtime supervision for at-risk; upright positioning during and 30 minutes after meals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Choking first aid training annually; suction equipment checked weekly; mealtime positioning protocol; incident investigation and learning; SALT review frequency in care plan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IDDSI-non-compliant modified diet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IDDSI framework adopted; texture descriptors on diet cards; kitchen IDDSI trained; meals tested (fork/spoon drip test)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IDDSI audit monthly; visual guide in kitchen; mealtime observation by clinical lead; new items tested before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Food allergy / intolerance reaction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Allergy on care plan and kitchen profile; 14 allergens on menus; kitchen allergy training; separate preparation for allergen-free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Allergen audit six-monthly; alert system (wristband/placemat); anaphylaxis kit; contractor compliance review; admission allergen check within 24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Enteral feeding complications (PEG/NG)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Enteral feeding care plan; competency-assessed staff only; pump alarm management; stoma site care; dietitian-led regime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Competency assessment; equipment log; stoma infection surveillance; tube displacement protocol; out-of-hours dietetic advice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Food safety / hygiene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Residents,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HACCP system; Level 2 Food Hygiene for kitchen staff; temperature monitoring; EHO inspections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Rating 5 maintained; internal audit quarterly; food sampling; staff refresher annually; EHO recommendations actioned per timescale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Inadequate mealtime assistance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Mealtime staffing assessment; protected mealtimes; feeding assistance training; observation by clinical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Mealtime audit quarterly; volunteer companion programme; dining environment review; resident satisfaction survey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Additional Notes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Regulation 14 requires adequate nutrition and hydration. The IDDSI framework must be adopted. Choking is a medical emergency – all staff must be trained. MUST is the recommended screening tool. Food safety must comply with retained EU Regulation 852/2004.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 &amp; Approval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has been reviewed and approved by the undersigned. It shall be reviewed at least annually or following any significant incident, change in legislation, or operational modification.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70"/>
        <w:gridCol w:w="3670"/>
        <w:gridCol w:w="3669"/>
      </w:tblGrid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Assessor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Registered Manager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H&amp;S Lead / Responsible Individual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D4AF37"/>
          <w:sz w:val="16"/>
          <w:szCs w:val="16"/>
        </w:rPr>
        <w:t xml:space="preserve">Barker Scott – Care Home Compliance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0B1D3A"/>
          <w:sz w:val="16"/>
          <w:szCs w:val="16"/>
        </w:rPr>
        <w:t xml:space="preserve">barker-scott.co.uk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14678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BS-CH-RA-008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i/>
        <w:iCs/>
        <w:color w:val="D4AF37"/>
        <w:sz w:val="20"/>
        <w:szCs w:val="20"/>
      </w:rPr>
      <w:t xml:space="preserve">Care Home Risk Assessment</w:t>
    </w:r>
  </w:p>
  <w:p>
    <w:pPr>
      <w:pBdr>
        <w:bottom w:val="single" w:color="D4AF37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2026-05-15T11:13:36.623Z</dcterms:created>
  <dcterms:modified xsi:type="dcterms:W3CDTF">2026-05-15T11:13:36.623Z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