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0"/>
        <w:jc w:val="center"/>
      </w:pPr>
      <w:r>
        <w:rPr>
          <w:rFonts w:ascii="Arial" w:cs="Arial" w:eastAsia="Arial" w:hAnsi="Arial"/>
          <w:b/>
          <w:bCs/>
          <w:color w:val="0B1D3A"/>
          <w:sz w:val="36"/>
          <w:szCs w:val="36"/>
        </w:rPr>
        <w:t xml:space="preserve">RISK ASSESSMENT</w:t>
      </w:r>
    </w:p>
    <w:p>
      <w:pPr>
        <w:spacing w:after="60" w:before="0"/>
        <w:jc w:val="center"/>
      </w:pPr>
      <w:r>
        <w:rPr>
          <w:rFonts w:ascii="Arial" w:cs="Arial" w:eastAsia="Arial" w:hAnsi="Arial"/>
          <w:b/>
          <w:bCs/>
          <w:color w:val="D4AF37"/>
          <w:sz w:val="28"/>
          <w:szCs w:val="28"/>
        </w:rPr>
        <w:t xml:space="preserve">SAFEGUARDING ADULTS</w:t>
      </w:r>
    </w:p>
    <w:p>
      <w:pPr>
        <w:pBdr>
          <w:bottom w:val="single" w:color="D4AF37" w:sz="6" w:space="1"/>
        </w:pBdr>
        <w:spacing w:after="200" w:before="200"/>
      </w:pPr>
    </w:p>
    <w:p>
      <w:pPr>
        <w:spacing w:after="60" w:before="60"/>
      </w:pPr>
      <w:r>
        <w:rPr>
          <w:rFonts w:ascii="Arial" w:cs="Arial" w:eastAsia="Arial" w:hAnsi="Arial"/>
          <w:b/>
          <w:bCs/>
          <w:color w:val="0B1D3A"/>
          <w:sz w:val="20"/>
          <w:szCs w:val="20"/>
        </w:rPr>
        <w:t xml:space="preserve">Document Reference: </w:t>
      </w:r>
      <w:r>
        <w:rPr>
          <w:rFonts w:ascii="Arial" w:cs="Arial" w:eastAsia="Arial" w:hAnsi="Arial"/>
          <w:color w:val="333333"/>
          <w:sz w:val="20"/>
          <w:szCs w:val="20"/>
        </w:rPr>
        <w:t xml:space="preserve">BS-CH-RA-001</w:t>
      </w:r>
    </w:p>
    <w:p>
      <w:pPr>
        <w:spacing w:after="60" w:before="60"/>
      </w:pPr>
      <w:r>
        <w:rPr>
          <w:rFonts w:ascii="Arial" w:cs="Arial" w:eastAsia="Arial" w:hAnsi="Arial"/>
          <w:b/>
          <w:bCs/>
          <w:color w:val="0B1D3A"/>
          <w:sz w:val="20"/>
          <w:szCs w:val="20"/>
        </w:rPr>
        <w:t xml:space="preserve">Assessment Date: </w:t>
      </w:r>
      <w:r>
        <w:rPr>
          <w:rFonts w:ascii="Arial" w:cs="Arial" w:eastAsia="Arial" w:hAnsi="Arial"/>
          <w:color w:val="333333"/>
          <w:sz w:val="20"/>
          <w:szCs w:val="20"/>
        </w:rPr>
        <w:t xml:space="preserve">[DD/MM/YYYY]</w:t>
      </w:r>
    </w:p>
    <w:p>
      <w:pPr>
        <w:spacing w:after="60" w:before="60"/>
      </w:pPr>
      <w:r>
        <w:rPr>
          <w:rFonts w:ascii="Arial" w:cs="Arial" w:eastAsia="Arial" w:hAnsi="Arial"/>
          <w:b/>
          <w:bCs/>
          <w:color w:val="0B1D3A"/>
          <w:sz w:val="20"/>
          <w:szCs w:val="20"/>
        </w:rPr>
        <w:t xml:space="preserve">Review Date: </w:t>
      </w:r>
      <w:r>
        <w:rPr>
          <w:rFonts w:ascii="Arial" w:cs="Arial" w:eastAsia="Arial" w:hAnsi="Arial"/>
          <w:color w:val="333333"/>
          <w:sz w:val="20"/>
          <w:szCs w:val="20"/>
        </w:rPr>
        <w:t xml:space="preserve">[DD/MM/YYYY]</w:t>
      </w:r>
    </w:p>
    <w:p>
      <w:pPr>
        <w:spacing w:after="60" w:before="60"/>
      </w:pPr>
      <w:r>
        <w:rPr>
          <w:rFonts w:ascii="Arial" w:cs="Arial" w:eastAsia="Arial" w:hAnsi="Arial"/>
          <w:b/>
          <w:bCs/>
          <w:color w:val="0B1D3A"/>
          <w:sz w:val="20"/>
          <w:szCs w:val="20"/>
        </w:rPr>
        <w:t xml:space="preserve">Assessor: </w:t>
      </w:r>
      <w:r>
        <w:rPr>
          <w:rFonts w:ascii="Arial" w:cs="Arial" w:eastAsia="Arial" w:hAnsi="Arial"/>
          <w:color w:val="333333"/>
          <w:sz w:val="20"/>
          <w:szCs w:val="20"/>
        </w:rPr>
        <w:t xml:space="preserve">[Insert Name]</w:t>
      </w:r>
    </w:p>
    <w:p>
      <w:pPr>
        <w:spacing w:after="60" w:before="60"/>
      </w:pPr>
      <w:r>
        <w:rPr>
          <w:rFonts w:ascii="Arial" w:cs="Arial" w:eastAsia="Arial" w:hAnsi="Arial"/>
          <w:b/>
          <w:bCs/>
          <w:color w:val="0B1D3A"/>
          <w:sz w:val="20"/>
          <w:szCs w:val="20"/>
        </w:rPr>
        <w:t xml:space="preserve">Location: </w:t>
      </w:r>
      <w:r>
        <w:rPr>
          <w:rFonts w:ascii="Arial" w:cs="Arial" w:eastAsia="Arial" w:hAnsi="Arial"/>
          <w:color w:val="333333"/>
          <w:sz w:val="20"/>
          <w:szCs w:val="20"/>
        </w:rPr>
        <w:t xml:space="preserve">[Insert Care Home Name &amp; Address]</w:t>
      </w:r>
    </w:p>
    <w:p>
      <w:pPr>
        <w:spacing w:after="60" w:before="60"/>
      </w:pPr>
      <w:r>
        <w:rPr>
          <w:rFonts w:ascii="Arial" w:cs="Arial" w:eastAsia="Arial" w:hAnsi="Arial"/>
          <w:b/>
          <w:bCs/>
          <w:color w:val="0B1D3A"/>
          <w:sz w:val="20"/>
          <w:szCs w:val="20"/>
        </w:rPr>
        <w:t xml:space="preserve">Version: </w:t>
      </w:r>
      <w:r>
        <w:rPr>
          <w:rFonts w:ascii="Arial" w:cs="Arial" w:eastAsia="Arial" w:hAnsi="Arial"/>
          <w:color w:val="333333"/>
          <w:sz w:val="20"/>
          <w:szCs w:val="20"/>
        </w:rPr>
        <w:t xml:space="preserve">1.0</w:t>
      </w:r>
    </w:p>
    <w:p>
      <w:pPr>
        <w:pBdr>
          <w:bottom w:val="single" w:color="D4AF37" w:sz="6" w:space="1"/>
        </w:pBdr>
        <w:spacing w:after="200" w:before="200"/>
      </w:pPr>
    </w:p>
    <w:p>
      <w:pPr>
        <w:spacing w:after="120" w:before="300"/>
      </w:pPr>
      <w:r>
        <w:rPr>
          <w:rFonts w:ascii="Arial" w:cs="Arial" w:eastAsia="Arial" w:hAnsi="Arial"/>
          <w:b/>
          <w:bCs/>
          <w:color w:val="0B1D3A"/>
          <w:sz w:val="24"/>
          <w:szCs w:val="24"/>
        </w:rPr>
        <w:t xml:space="preserve">1. Purpose</w:t>
      </w:r>
    </w:p>
    <w:p>
      <w:pPr>
        <w:spacing w:after="60" w:before="60"/>
      </w:pPr>
      <w:r>
        <w:rPr>
          <w:rFonts w:ascii="Arial" w:cs="Arial" w:eastAsia="Arial" w:hAnsi="Arial"/>
          <w:color w:val="333333"/>
          <w:sz w:val="20"/>
          <w:szCs w:val="20"/>
        </w:rPr>
        <w:t xml:space="preserve">To identify, evaluate and mitigate risks associated with the safeguarding of adults at risk within the care home, ensuring residents are protected from all forms of abuse and neglect.</w:t>
      </w:r>
    </w:p>
    <w:p>
      <w:pPr>
        <w:pBdr>
          <w:bottom w:val="single" w:color="D4AF37" w:sz="6" w:space="1"/>
        </w:pBdr>
        <w:spacing w:after="200" w:before="200"/>
      </w:pPr>
    </w:p>
    <w:p>
      <w:pPr>
        <w:spacing w:after="120" w:before="300"/>
      </w:pPr>
      <w:r>
        <w:rPr>
          <w:rFonts w:ascii="Arial" w:cs="Arial" w:eastAsia="Arial" w:hAnsi="Arial"/>
          <w:b/>
          <w:bCs/>
          <w:color w:val="0B1D3A"/>
          <w:sz w:val="24"/>
          <w:szCs w:val="24"/>
        </w:rPr>
        <w:t xml:space="preserve">2. Scope</w:t>
      </w:r>
    </w:p>
    <w:p>
      <w:pPr>
        <w:spacing w:after="60" w:before="60"/>
      </w:pPr>
      <w:r>
        <w:rPr>
          <w:rFonts w:ascii="Arial" w:cs="Arial" w:eastAsia="Arial" w:hAnsi="Arial"/>
          <w:color w:val="333333"/>
          <w:sz w:val="20"/>
          <w:szCs w:val="20"/>
        </w:rPr>
        <w:t xml:space="preserve">This assessment covers all safeguarding risks including physical, emotional, sexual, financial, and institutional abuse, neglect, modern slavery, self-neglect, and risks from visitors, staff, other residents, and external parties. It applies to all staff, volunteers, and visiting professionals.</w:t>
      </w:r>
    </w:p>
    <w:p>
      <w:pPr>
        <w:pBdr>
          <w:bottom w:val="single" w:color="D4AF37" w:sz="6" w:space="1"/>
        </w:pBdr>
        <w:spacing w:after="200" w:before="200"/>
      </w:pPr>
    </w:p>
    <w:p>
      <w:pPr>
        <w:spacing w:after="120" w:before="300"/>
      </w:pPr>
      <w:r>
        <w:rPr>
          <w:rFonts w:ascii="Arial" w:cs="Arial" w:eastAsia="Arial" w:hAnsi="Arial"/>
          <w:b/>
          <w:bCs/>
          <w:color w:val="0B1D3A"/>
          <w:sz w:val="24"/>
          <w:szCs w:val="24"/>
        </w:rPr>
        <w:t xml:space="preserve">3. Legal &amp; Regulatory Framework</w:t>
      </w:r>
    </w:p>
    <w:p>
      <w:pPr>
        <w:spacing w:after="60" w:before="60"/>
      </w:pPr>
      <w:r>
        <w:rPr>
          <w:rFonts w:ascii="Arial" w:cs="Arial" w:eastAsia="Arial" w:hAnsi="Arial"/>
          <w:color w:val="333333"/>
          <w:sz w:val="20"/>
          <w:szCs w:val="20"/>
        </w:rPr>
        <w:t xml:space="preserve">•  Care Act 2014 – Sections 42–46 (Safeguarding Adults)</w:t>
      </w:r>
    </w:p>
    <w:p>
      <w:pPr>
        <w:spacing w:after="60" w:before="60"/>
      </w:pPr>
      <w:r>
        <w:rPr>
          <w:rFonts w:ascii="Arial" w:cs="Arial" w:eastAsia="Arial" w:hAnsi="Arial"/>
          <w:color w:val="333333"/>
          <w:sz w:val="20"/>
          <w:szCs w:val="20"/>
        </w:rPr>
        <w:t xml:space="preserve">•  Health and Social Care Act 2008 (Regulated Activities) Regulations 2014 – Regulation 13</w:t>
      </w:r>
    </w:p>
    <w:p>
      <w:pPr>
        <w:spacing w:after="60" w:before="60"/>
      </w:pPr>
      <w:r>
        <w:rPr>
          <w:rFonts w:ascii="Arial" w:cs="Arial" w:eastAsia="Arial" w:hAnsi="Arial"/>
          <w:color w:val="333333"/>
          <w:sz w:val="20"/>
          <w:szCs w:val="20"/>
        </w:rPr>
        <w:t xml:space="preserve">•  Mental Capacity Act 2005 – Section 44 (Ill-treatment / Wilful Neglect)</w:t>
      </w:r>
    </w:p>
    <w:p>
      <w:pPr>
        <w:spacing w:after="60" w:before="60"/>
      </w:pPr>
      <w:r>
        <w:rPr>
          <w:rFonts w:ascii="Arial" w:cs="Arial" w:eastAsia="Arial" w:hAnsi="Arial"/>
          <w:color w:val="333333"/>
          <w:sz w:val="20"/>
          <w:szCs w:val="20"/>
        </w:rPr>
        <w:t xml:space="preserve">•  Criminal Justice and Courts Act 2015 – Section 20</w:t>
      </w:r>
    </w:p>
    <w:p>
      <w:pPr>
        <w:spacing w:after="60" w:before="60"/>
      </w:pPr>
      <w:r>
        <w:rPr>
          <w:rFonts w:ascii="Arial" w:cs="Arial" w:eastAsia="Arial" w:hAnsi="Arial"/>
          <w:color w:val="333333"/>
          <w:sz w:val="20"/>
          <w:szCs w:val="20"/>
        </w:rPr>
        <w:t xml:space="preserve">•  Safeguarding Vulnerable Groups Act 2006</w:t>
      </w:r>
    </w:p>
    <w:p>
      <w:pPr>
        <w:spacing w:after="60" w:before="60"/>
      </w:pPr>
      <w:r>
        <w:rPr>
          <w:rFonts w:ascii="Arial" w:cs="Arial" w:eastAsia="Arial" w:hAnsi="Arial"/>
          <w:color w:val="333333"/>
          <w:sz w:val="20"/>
          <w:szCs w:val="20"/>
        </w:rPr>
        <w:t xml:space="preserve">•  Human Rights Act 1998 – Articles 2, 3, 8</w:t>
      </w:r>
    </w:p>
    <w:p>
      <w:pPr>
        <w:spacing w:after="60" w:before="60"/>
      </w:pPr>
      <w:r>
        <w:rPr>
          <w:rFonts w:ascii="Arial" w:cs="Arial" w:eastAsia="Arial" w:hAnsi="Arial"/>
          <w:color w:val="333333"/>
          <w:sz w:val="20"/>
          <w:szCs w:val="20"/>
        </w:rPr>
        <w:t xml:space="preserve">•  Sexual Offences Act 2003</w:t>
      </w:r>
    </w:p>
    <w:p>
      <w:pPr>
        <w:spacing w:after="60" w:before="60"/>
      </w:pPr>
      <w:r>
        <w:rPr>
          <w:rFonts w:ascii="Arial" w:cs="Arial" w:eastAsia="Arial" w:hAnsi="Arial"/>
          <w:color w:val="333333"/>
          <w:sz w:val="20"/>
          <w:szCs w:val="20"/>
        </w:rPr>
        <w:t xml:space="preserve">•  Modern Slavery Act 2015</w:t>
      </w:r>
    </w:p>
    <w:p>
      <w:pPr>
        <w:pBdr>
          <w:bottom w:val="single" w:color="D4AF37" w:sz="6" w:space="1"/>
        </w:pBdr>
        <w:spacing w:after="200" w:before="200"/>
      </w:pPr>
    </w:p>
    <w:p>
      <w:pPr>
        <w:spacing w:after="120" w:before="300"/>
      </w:pPr>
      <w:r>
        <w:rPr>
          <w:rFonts w:ascii="Arial" w:cs="Arial" w:eastAsia="Arial" w:hAnsi="Arial"/>
          <w:b/>
          <w:bCs/>
          <w:color w:val="0B1D3A"/>
          <w:sz w:val="24"/>
          <w:szCs w:val="24"/>
        </w:rPr>
        <w:t xml:space="preserve">4. Risk Rating Matrix</w:t>
      </w:r>
    </w:p>
    <w:p>
      <w:pPr>
        <w:spacing w:after="60" w:before="60"/>
      </w:pPr>
      <w:r>
        <w:rPr>
          <w:rFonts w:ascii="Arial" w:cs="Arial" w:eastAsia="Arial" w:hAnsi="Arial"/>
          <w:color w:val="333333"/>
          <w:sz w:val="20"/>
          <w:szCs w:val="20"/>
        </w:rPr>
        <w:t xml:space="preserve">Risk is calculated as Likelihood (L) × Severity (S). The following colour-coded matrix defines action thresholds:</w:t>
      </w:r>
    </w:p>
    <w:p>
      <w:pPr>
        <w:spacing w:after="100" w:before="100"/>
      </w:pPr>
    </w:p>
    <w:tbl>
      <w:tblPr>
        <w:tblW w:type="dxa" w:w="14678"/>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2400"/>
        <w:gridCol w:w="2400"/>
        <w:gridCol w:w="5078"/>
      </w:tblGrid>
      <w:tr>
        <w:tc>
          <w:tcPr>
            <w:tcW w:type="dxa" w:w="2400"/>
            <w:tcBorders>
              <w:top w:val="single" w:color="CCCCCC" w:sz="1"/>
              <w:left w:val="single" w:color="CCCCCC" w:sz="1"/>
              <w:bottom w:val="single" w:color="CCCCCC" w:sz="1"/>
              <w:right w:val="single" w:color="CCCCCC" w:sz="1"/>
            </w:tcBorders>
            <w:shd w:fill="0B1D3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Likelihood (L)</w:t>
            </w:r>
          </w:p>
        </w:tc>
        <w:tc>
          <w:tcPr>
            <w:tcW w:type="dxa" w:w="2400"/>
            <w:tcBorders>
              <w:top w:val="single" w:color="CCCCCC" w:sz="1"/>
              <w:left w:val="single" w:color="CCCCCC" w:sz="1"/>
              <w:bottom w:val="single" w:color="CCCCCC" w:sz="1"/>
              <w:right w:val="single" w:color="CCCCCC" w:sz="1"/>
            </w:tcBorders>
            <w:shd w:fill="0B1D3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Severity (S)</w:t>
            </w:r>
          </w:p>
        </w:tc>
        <w:tc>
          <w:tcPr>
            <w:tcW w:type="dxa" w:w="2400"/>
            <w:tcBorders>
              <w:top w:val="single" w:color="CCCCCC" w:sz="1"/>
              <w:left w:val="single" w:color="CCCCCC" w:sz="1"/>
              <w:bottom w:val="single" w:color="CCCCCC" w:sz="1"/>
              <w:right w:val="single" w:color="CCCCCC" w:sz="1"/>
            </w:tcBorders>
            <w:shd w:fill="0B1D3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Rating (L×S)</w:t>
            </w:r>
          </w:p>
        </w:tc>
        <w:tc>
          <w:tcPr>
            <w:tcW w:type="dxa" w:w="2400"/>
            <w:tcBorders>
              <w:top w:val="single" w:color="CCCCCC" w:sz="1"/>
              <w:left w:val="single" w:color="CCCCCC" w:sz="1"/>
              <w:bottom w:val="single" w:color="CCCCCC" w:sz="1"/>
              <w:right w:val="single" w:color="CCCCCC" w:sz="1"/>
            </w:tcBorders>
            <w:shd w:fill="0B1D3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Risk Level</w:t>
            </w:r>
          </w:p>
        </w:tc>
        <w:tc>
          <w:tcPr>
            <w:tcW w:type="dxa" w:w="5078"/>
            <w:tcBorders>
              <w:top w:val="single" w:color="CCCCCC" w:sz="1"/>
              <w:left w:val="single" w:color="CCCCCC" w:sz="1"/>
              <w:bottom w:val="single" w:color="CCCCCC" w:sz="1"/>
              <w:right w:val="single" w:color="CCCCCC" w:sz="1"/>
            </w:tcBorders>
            <w:shd w:fill="0B1D3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Action Required</w:t>
            </w:r>
          </w:p>
        </w:tc>
      </w:tr>
      <w:tr>
        <w:tc>
          <w:tcPr>
            <w:tcW w:type="dxa" w:w="2400"/>
            <w:tcBorders>
              <w:top w:val="single" w:color="CCCCCC" w:sz="1"/>
              <w:left w:val="single" w:color="CCCCCC" w:sz="1"/>
              <w:bottom w:val="single" w:color="CCCCCC" w:sz="1"/>
              <w:right w:val="single" w:color="CCCCCC" w:sz="1"/>
            </w:tcBorders>
            <w:shd w:fill="E8F8F0"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1–2</w:t>
            </w:r>
          </w:p>
        </w:tc>
        <w:tc>
          <w:tcPr>
            <w:tcW w:type="dxa" w:w="2400"/>
            <w:tcBorders>
              <w:top w:val="single" w:color="CCCCCC" w:sz="1"/>
              <w:left w:val="single" w:color="CCCCCC" w:sz="1"/>
              <w:bottom w:val="single" w:color="CCCCCC" w:sz="1"/>
              <w:right w:val="single" w:color="CCCCCC" w:sz="1"/>
            </w:tcBorders>
            <w:shd w:fill="E8F8F0"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1–2</w:t>
            </w:r>
          </w:p>
        </w:tc>
        <w:tc>
          <w:tcPr>
            <w:tcW w:type="dxa" w:w="2400"/>
            <w:tcBorders>
              <w:top w:val="single" w:color="CCCCCC" w:sz="1"/>
              <w:left w:val="single" w:color="CCCCCC" w:sz="1"/>
              <w:bottom w:val="single" w:color="CCCCCC" w:sz="1"/>
              <w:right w:val="single" w:color="CCCCCC" w:sz="1"/>
            </w:tcBorders>
            <w:shd w:fill="E8F8F0" w:val="clear"/>
            <w:tcMar>
              <w:top w:type="dxa" w:w="60"/>
              <w:left w:type="dxa" w:w="100"/>
              <w:bottom w:type="dxa" w:w="60"/>
              <w:right w:type="dxa" w:w="100"/>
            </w:tcMar>
            <w:vAlign w:val="center"/>
          </w:tcPr>
          <w:p>
            <w:pPr>
              <w:jc w:val="center"/>
            </w:pPr>
            <w:r>
              <w:rPr>
                <w:rFonts w:ascii="Arial" w:cs="Arial" w:eastAsia="Arial" w:hAnsi="Arial"/>
                <w:b/>
                <w:bCs/>
                <w:color w:val="27AE60"/>
                <w:sz w:val="18"/>
                <w:szCs w:val="18"/>
              </w:rPr>
              <w:t xml:space="preserve">1–4</w:t>
            </w:r>
          </w:p>
        </w:tc>
        <w:tc>
          <w:tcPr>
            <w:tcW w:type="dxa" w:w="2400"/>
            <w:tcBorders>
              <w:top w:val="single" w:color="CCCCCC" w:sz="1"/>
              <w:left w:val="single" w:color="CCCCCC" w:sz="1"/>
              <w:bottom w:val="single" w:color="CCCCCC" w:sz="1"/>
              <w:right w:val="single" w:color="CCCCCC" w:sz="1"/>
            </w:tcBorders>
            <w:shd w:fill="27AE60"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LOW</w:t>
            </w:r>
          </w:p>
        </w:tc>
        <w:tc>
          <w:tcPr>
            <w:tcW w:type="dxa" w:w="5078"/>
            <w:tcBorders>
              <w:top w:val="single" w:color="CCCCCC" w:sz="1"/>
              <w:left w:val="single" w:color="CCCCCC" w:sz="1"/>
              <w:bottom w:val="single" w:color="CCCCCC" w:sz="1"/>
              <w:right w:val="single" w:color="CCCCCC" w:sz="1"/>
            </w:tcBorders>
            <w:shd w:fill="E8F8F0"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Monitor – no immediate action</w:t>
            </w:r>
          </w:p>
        </w:tc>
      </w:tr>
      <w:tr>
        <w:tc>
          <w:tcPr>
            <w:tcW w:type="dxa" w:w="2400"/>
            <w:tcBorders>
              <w:top w:val="single" w:color="CCCCCC" w:sz="1"/>
              <w:left w:val="single" w:color="CCCCCC" w:sz="1"/>
              <w:bottom w:val="single" w:color="CCCCCC" w:sz="1"/>
              <w:right w:val="single" w:color="CCCCCC" w:sz="1"/>
            </w:tcBorders>
            <w:shd w:fill="FEF5E7"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2–3</w:t>
            </w:r>
          </w:p>
        </w:tc>
        <w:tc>
          <w:tcPr>
            <w:tcW w:type="dxa" w:w="2400"/>
            <w:tcBorders>
              <w:top w:val="single" w:color="CCCCCC" w:sz="1"/>
              <w:left w:val="single" w:color="CCCCCC" w:sz="1"/>
              <w:bottom w:val="single" w:color="CCCCCC" w:sz="1"/>
              <w:right w:val="single" w:color="CCCCCC" w:sz="1"/>
            </w:tcBorders>
            <w:shd w:fill="FEF5E7"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2–3</w:t>
            </w:r>
          </w:p>
        </w:tc>
        <w:tc>
          <w:tcPr>
            <w:tcW w:type="dxa" w:w="2400"/>
            <w:tcBorders>
              <w:top w:val="single" w:color="CCCCCC" w:sz="1"/>
              <w:left w:val="single" w:color="CCCCCC" w:sz="1"/>
              <w:bottom w:val="single" w:color="CCCCCC" w:sz="1"/>
              <w:right w:val="single" w:color="CCCCCC" w:sz="1"/>
            </w:tcBorders>
            <w:shd w:fill="FEF5E7" w:val="clear"/>
            <w:tcMar>
              <w:top w:type="dxa" w:w="60"/>
              <w:left w:type="dxa" w:w="100"/>
              <w:bottom w:type="dxa" w:w="60"/>
              <w:right w:type="dxa" w:w="100"/>
            </w:tcMar>
            <w:vAlign w:val="center"/>
          </w:tcPr>
          <w:p>
            <w:pPr>
              <w:jc w:val="center"/>
            </w:pPr>
            <w:r>
              <w:rPr>
                <w:rFonts w:ascii="Arial" w:cs="Arial" w:eastAsia="Arial" w:hAnsi="Arial"/>
                <w:b/>
                <w:bCs/>
                <w:color w:val="F39C12"/>
                <w:sz w:val="18"/>
                <w:szCs w:val="18"/>
              </w:rPr>
              <w:t xml:space="preserve">5–12</w:t>
            </w:r>
          </w:p>
        </w:tc>
        <w:tc>
          <w:tcPr>
            <w:tcW w:type="dxa" w:w="2400"/>
            <w:tcBorders>
              <w:top w:val="single" w:color="CCCCCC" w:sz="1"/>
              <w:left w:val="single" w:color="CCCCCC" w:sz="1"/>
              <w:bottom w:val="single" w:color="CCCCCC" w:sz="1"/>
              <w:right w:val="single" w:color="CCCCCC" w:sz="1"/>
            </w:tcBorders>
            <w:shd w:fill="F39C12"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MEDIUM</w:t>
            </w:r>
          </w:p>
        </w:tc>
        <w:tc>
          <w:tcPr>
            <w:tcW w:type="dxa" w:w="5078"/>
            <w:tcBorders>
              <w:top w:val="single" w:color="CCCCCC" w:sz="1"/>
              <w:left w:val="single" w:color="CCCCCC" w:sz="1"/>
              <w:bottom w:val="single" w:color="CCCCCC" w:sz="1"/>
              <w:right w:val="single" w:color="CCCCCC" w:sz="1"/>
            </w:tcBorders>
            <w:shd w:fill="FEF5E7"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Controls required; review quarterly</w:t>
            </w:r>
          </w:p>
        </w:tc>
      </w:tr>
      <w:tr>
        <w:tc>
          <w:tcPr>
            <w:tcW w:type="dxa" w:w="2400"/>
            <w:tcBorders>
              <w:top w:val="single" w:color="CCCCCC" w:sz="1"/>
              <w:left w:val="single" w:color="CCCCCC" w:sz="1"/>
              <w:bottom w:val="single" w:color="CCCCCC" w:sz="1"/>
              <w:right w:val="single" w:color="CCCCCC" w:sz="1"/>
            </w:tcBorders>
            <w:shd w:fill="FDEDEC"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4–5</w:t>
            </w:r>
          </w:p>
        </w:tc>
        <w:tc>
          <w:tcPr>
            <w:tcW w:type="dxa" w:w="2400"/>
            <w:tcBorders>
              <w:top w:val="single" w:color="CCCCCC" w:sz="1"/>
              <w:left w:val="single" w:color="CCCCCC" w:sz="1"/>
              <w:bottom w:val="single" w:color="CCCCCC" w:sz="1"/>
              <w:right w:val="single" w:color="CCCCCC" w:sz="1"/>
            </w:tcBorders>
            <w:shd w:fill="FDEDEC"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4–5</w:t>
            </w:r>
          </w:p>
        </w:tc>
        <w:tc>
          <w:tcPr>
            <w:tcW w:type="dxa" w:w="2400"/>
            <w:tcBorders>
              <w:top w:val="single" w:color="CCCCCC" w:sz="1"/>
              <w:left w:val="single" w:color="CCCCCC" w:sz="1"/>
              <w:bottom w:val="single" w:color="CCCCCC" w:sz="1"/>
              <w:right w:val="single" w:color="CCCCCC" w:sz="1"/>
            </w:tcBorders>
            <w:shd w:fill="FDEDEC" w:val="clear"/>
            <w:tcMar>
              <w:top w:type="dxa" w:w="60"/>
              <w:left w:type="dxa" w:w="100"/>
              <w:bottom w:type="dxa" w:w="60"/>
              <w:right w:type="dxa" w:w="100"/>
            </w:tcMar>
            <w:vAlign w:val="center"/>
          </w:tcPr>
          <w:p>
            <w:pPr>
              <w:jc w:val="center"/>
            </w:pPr>
            <w:r>
              <w:rPr>
                <w:rFonts w:ascii="Arial" w:cs="Arial" w:eastAsia="Arial" w:hAnsi="Arial"/>
                <w:b/>
                <w:bCs/>
                <w:color w:val="E74C3C"/>
                <w:sz w:val="18"/>
                <w:szCs w:val="18"/>
              </w:rPr>
              <w:t xml:space="preserve">13–25</w:t>
            </w:r>
          </w:p>
        </w:tc>
        <w:tc>
          <w:tcPr>
            <w:tcW w:type="dxa" w:w="2400"/>
            <w:tcBorders>
              <w:top w:val="single" w:color="CCCCCC" w:sz="1"/>
              <w:left w:val="single" w:color="CCCCCC" w:sz="1"/>
              <w:bottom w:val="single" w:color="CCCCCC" w:sz="1"/>
              <w:right w:val="single" w:color="CCCCCC" w:sz="1"/>
            </w:tcBorders>
            <w:shd w:fill="E74C3C"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HIGH</w:t>
            </w:r>
          </w:p>
        </w:tc>
        <w:tc>
          <w:tcPr>
            <w:tcW w:type="dxa" w:w="5078"/>
            <w:tcBorders>
              <w:top w:val="single" w:color="CCCCCC" w:sz="1"/>
              <w:left w:val="single" w:color="CCCCCC" w:sz="1"/>
              <w:bottom w:val="single" w:color="CCCCCC" w:sz="1"/>
              <w:right w:val="single" w:color="CCCCCC" w:sz="1"/>
            </w:tcBorders>
            <w:shd w:fill="FDEDEC"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Immediate action; cease activity until controlled</w:t>
            </w:r>
          </w:p>
        </w:tc>
      </w:tr>
    </w:tbl>
    <w:p>
      <w:pPr>
        <w:pBdr>
          <w:bottom w:val="single" w:color="D4AF37" w:sz="6" w:space="1"/>
        </w:pBdr>
        <w:spacing w:after="200" w:before="200"/>
      </w:pPr>
    </w:p>
    <w:p>
      <w:pPr>
        <w:spacing w:after="120" w:before="300"/>
      </w:pPr>
      <w:r>
        <w:rPr>
          <w:rFonts w:ascii="Arial" w:cs="Arial" w:eastAsia="Arial" w:hAnsi="Arial"/>
          <w:b/>
          <w:bCs/>
          <w:color w:val="0B1D3A"/>
          <w:sz w:val="24"/>
          <w:szCs w:val="24"/>
        </w:rPr>
        <w:t xml:space="preserve">5. Hazard Identification &amp; Control Measures</w:t>
      </w:r>
    </w:p>
    <w:p>
      <w:pPr>
        <w:spacing w:after="100" w:before="100"/>
      </w:pPr>
    </w:p>
    <w:tbl>
      <w:tblPr>
        <w:tblW w:type="dxa" w:w="14678"/>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3200"/>
        <w:gridCol w:w="3200"/>
        <w:gridCol w:w="800"/>
        <w:gridCol w:w="800"/>
        <w:gridCol w:w="900"/>
        <w:gridCol w:w="1578"/>
      </w:tblGrid>
      <w:tr>
        <w:tc>
          <w:tcPr>
            <w:tcW w:type="dxa" w:w="2200"/>
            <w:tcBorders>
              <w:top w:val="single" w:color="CCCCCC" w:sz="1"/>
              <w:left w:val="single" w:color="CCCCCC" w:sz="1"/>
              <w:bottom w:val="single" w:color="CCCCCC" w:sz="1"/>
              <w:right w:val="single" w:color="CCCCCC" w:sz="1"/>
            </w:tcBorders>
            <w:shd w:fill="0B1D3A" w:val="clear"/>
            <w:tcMar>
              <w:top w:type="dxa" w:w="60"/>
              <w:left w:type="dxa" w:w="80"/>
              <w:bottom w:type="dxa" w:w="60"/>
              <w:right w:type="dxa" w:w="80"/>
            </w:tcMar>
            <w:vAlign w:val="center"/>
          </w:tcPr>
          <w:p>
            <w:pPr>
              <w:jc w:val="center"/>
            </w:pPr>
            <w:r>
              <w:rPr>
                <w:rFonts w:ascii="Arial" w:cs="Arial" w:eastAsia="Arial" w:hAnsi="Arial"/>
                <w:b/>
                <w:bCs/>
                <w:color w:val="FFFFFF"/>
                <w:sz w:val="17"/>
                <w:szCs w:val="17"/>
              </w:rPr>
              <w:t xml:space="preserve">Hazard</w:t>
            </w:r>
          </w:p>
        </w:tc>
        <w:tc>
          <w:tcPr>
            <w:tcW w:type="dxa" w:w="2000"/>
            <w:tcBorders>
              <w:top w:val="single" w:color="CCCCCC" w:sz="1"/>
              <w:left w:val="single" w:color="CCCCCC" w:sz="1"/>
              <w:bottom w:val="single" w:color="CCCCCC" w:sz="1"/>
              <w:right w:val="single" w:color="CCCCCC" w:sz="1"/>
            </w:tcBorders>
            <w:shd w:fill="0B1D3A" w:val="clear"/>
            <w:tcMar>
              <w:top w:type="dxa" w:w="60"/>
              <w:left w:type="dxa" w:w="80"/>
              <w:bottom w:type="dxa" w:w="60"/>
              <w:right w:type="dxa" w:w="80"/>
            </w:tcMar>
            <w:vAlign w:val="center"/>
          </w:tcPr>
          <w:p>
            <w:pPr>
              <w:jc w:val="center"/>
            </w:pPr>
            <w:r>
              <w:rPr>
                <w:rFonts w:ascii="Arial" w:cs="Arial" w:eastAsia="Arial" w:hAnsi="Arial"/>
                <w:b/>
                <w:bCs/>
                <w:color w:val="FFFFFF"/>
                <w:sz w:val="17"/>
                <w:szCs w:val="17"/>
              </w:rPr>
              <w:t xml:space="preserve">Who Is at Risk</w:t>
            </w:r>
          </w:p>
        </w:tc>
        <w:tc>
          <w:tcPr>
            <w:tcW w:type="dxa" w:w="3200"/>
            <w:tcBorders>
              <w:top w:val="single" w:color="CCCCCC" w:sz="1"/>
              <w:left w:val="single" w:color="CCCCCC" w:sz="1"/>
              <w:bottom w:val="single" w:color="CCCCCC" w:sz="1"/>
              <w:right w:val="single" w:color="CCCCCC" w:sz="1"/>
            </w:tcBorders>
            <w:shd w:fill="0B1D3A" w:val="clear"/>
            <w:tcMar>
              <w:top w:type="dxa" w:w="60"/>
              <w:left w:type="dxa" w:w="80"/>
              <w:bottom w:type="dxa" w:w="60"/>
              <w:right w:type="dxa" w:w="80"/>
            </w:tcMar>
            <w:vAlign w:val="center"/>
          </w:tcPr>
          <w:p>
            <w:pPr>
              <w:jc w:val="center"/>
            </w:pPr>
            <w:r>
              <w:rPr>
                <w:rFonts w:ascii="Arial" w:cs="Arial" w:eastAsia="Arial" w:hAnsi="Arial"/>
                <w:b/>
                <w:bCs/>
                <w:color w:val="FFFFFF"/>
                <w:sz w:val="17"/>
                <w:szCs w:val="17"/>
              </w:rPr>
              <w:t xml:space="preserve">Existing Controls</w:t>
            </w:r>
          </w:p>
        </w:tc>
        <w:tc>
          <w:tcPr>
            <w:tcW w:type="dxa" w:w="3200"/>
            <w:tcBorders>
              <w:top w:val="single" w:color="CCCCCC" w:sz="1"/>
              <w:left w:val="single" w:color="CCCCCC" w:sz="1"/>
              <w:bottom w:val="single" w:color="CCCCCC" w:sz="1"/>
              <w:right w:val="single" w:color="CCCCCC" w:sz="1"/>
            </w:tcBorders>
            <w:shd w:fill="0B1D3A" w:val="clear"/>
            <w:tcMar>
              <w:top w:type="dxa" w:w="60"/>
              <w:left w:type="dxa" w:w="80"/>
              <w:bottom w:type="dxa" w:w="60"/>
              <w:right w:type="dxa" w:w="80"/>
            </w:tcMar>
            <w:vAlign w:val="center"/>
          </w:tcPr>
          <w:p>
            <w:pPr>
              <w:jc w:val="center"/>
            </w:pPr>
            <w:r>
              <w:rPr>
                <w:rFonts w:ascii="Arial" w:cs="Arial" w:eastAsia="Arial" w:hAnsi="Arial"/>
                <w:b/>
                <w:bCs/>
                <w:color w:val="FFFFFF"/>
                <w:sz w:val="17"/>
                <w:szCs w:val="17"/>
              </w:rPr>
              <w:t xml:space="preserve">Additional Controls</w:t>
            </w:r>
          </w:p>
        </w:tc>
        <w:tc>
          <w:tcPr>
            <w:tcW w:type="dxa" w:w="800"/>
            <w:tcBorders>
              <w:top w:val="single" w:color="CCCCCC" w:sz="1"/>
              <w:left w:val="single" w:color="CCCCCC" w:sz="1"/>
              <w:bottom w:val="single" w:color="CCCCCC" w:sz="1"/>
              <w:right w:val="single" w:color="CCCCCC" w:sz="1"/>
            </w:tcBorders>
            <w:shd w:fill="0B1D3A" w:val="clear"/>
            <w:tcMar>
              <w:top w:type="dxa" w:w="60"/>
              <w:left w:type="dxa" w:w="80"/>
              <w:bottom w:type="dxa" w:w="60"/>
              <w:right w:type="dxa" w:w="80"/>
            </w:tcMar>
            <w:vAlign w:val="center"/>
          </w:tcPr>
          <w:p>
            <w:pPr>
              <w:jc w:val="center"/>
            </w:pPr>
            <w:r>
              <w:rPr>
                <w:rFonts w:ascii="Arial" w:cs="Arial" w:eastAsia="Arial" w:hAnsi="Arial"/>
                <w:b/>
                <w:bCs/>
                <w:color w:val="FFFFFF"/>
                <w:sz w:val="17"/>
                <w:szCs w:val="17"/>
              </w:rPr>
              <w:t xml:space="preserve">L</w:t>
            </w:r>
          </w:p>
        </w:tc>
        <w:tc>
          <w:tcPr>
            <w:tcW w:type="dxa" w:w="800"/>
            <w:tcBorders>
              <w:top w:val="single" w:color="CCCCCC" w:sz="1"/>
              <w:left w:val="single" w:color="CCCCCC" w:sz="1"/>
              <w:bottom w:val="single" w:color="CCCCCC" w:sz="1"/>
              <w:right w:val="single" w:color="CCCCCC" w:sz="1"/>
            </w:tcBorders>
            <w:shd w:fill="0B1D3A" w:val="clear"/>
            <w:tcMar>
              <w:top w:type="dxa" w:w="60"/>
              <w:left w:type="dxa" w:w="80"/>
              <w:bottom w:type="dxa" w:w="60"/>
              <w:right w:type="dxa" w:w="80"/>
            </w:tcMar>
            <w:vAlign w:val="center"/>
          </w:tcPr>
          <w:p>
            <w:pPr>
              <w:jc w:val="center"/>
            </w:pPr>
            <w:r>
              <w:rPr>
                <w:rFonts w:ascii="Arial" w:cs="Arial" w:eastAsia="Arial" w:hAnsi="Arial"/>
                <w:b/>
                <w:bCs/>
                <w:color w:val="FFFFFF"/>
                <w:sz w:val="17"/>
                <w:szCs w:val="17"/>
              </w:rPr>
              <w:t xml:space="preserve">S</w:t>
            </w:r>
          </w:p>
        </w:tc>
        <w:tc>
          <w:tcPr>
            <w:tcW w:type="dxa" w:w="900"/>
            <w:tcBorders>
              <w:top w:val="single" w:color="CCCCCC" w:sz="1"/>
              <w:left w:val="single" w:color="CCCCCC" w:sz="1"/>
              <w:bottom w:val="single" w:color="CCCCCC" w:sz="1"/>
              <w:right w:val="single" w:color="CCCCCC" w:sz="1"/>
            </w:tcBorders>
            <w:shd w:fill="0B1D3A" w:val="clear"/>
            <w:tcMar>
              <w:top w:type="dxa" w:w="60"/>
              <w:left w:type="dxa" w:w="80"/>
              <w:bottom w:type="dxa" w:w="60"/>
              <w:right w:type="dxa" w:w="80"/>
            </w:tcMar>
            <w:vAlign w:val="center"/>
          </w:tcPr>
          <w:p>
            <w:pPr>
              <w:jc w:val="center"/>
            </w:pPr>
            <w:r>
              <w:rPr>
                <w:rFonts w:ascii="Arial" w:cs="Arial" w:eastAsia="Arial" w:hAnsi="Arial"/>
                <w:b/>
                <w:bCs/>
                <w:color w:val="FFFFFF"/>
                <w:sz w:val="17"/>
                <w:szCs w:val="17"/>
              </w:rPr>
              <w:t xml:space="preserve">Rating</w:t>
            </w:r>
          </w:p>
        </w:tc>
        <w:tc>
          <w:tcPr>
            <w:tcW w:type="dxa" w:w="1578"/>
            <w:tcBorders>
              <w:top w:val="single" w:color="CCCCCC" w:sz="1"/>
              <w:left w:val="single" w:color="CCCCCC" w:sz="1"/>
              <w:bottom w:val="single" w:color="CCCCCC" w:sz="1"/>
              <w:right w:val="single" w:color="CCCCCC" w:sz="1"/>
            </w:tcBorders>
            <w:shd w:fill="0B1D3A" w:val="clear"/>
            <w:tcMar>
              <w:top w:type="dxa" w:w="60"/>
              <w:left w:type="dxa" w:w="80"/>
              <w:bottom w:type="dxa" w:w="60"/>
              <w:right w:type="dxa" w:w="80"/>
            </w:tcMar>
            <w:vAlign w:val="center"/>
          </w:tcPr>
          <w:p>
            <w:pPr>
              <w:jc w:val="center"/>
            </w:pPr>
            <w:r>
              <w:rPr>
                <w:rFonts w:ascii="Arial" w:cs="Arial" w:eastAsia="Arial" w:hAnsi="Arial"/>
                <w:b/>
                <w:bCs/>
                <w:color w:val="FFFFFF"/>
                <w:sz w:val="17"/>
                <w:szCs w:val="17"/>
              </w:rPr>
              <w:t xml:space="preserve">Risk Level</w:t>
            </w:r>
          </w:p>
        </w:tc>
      </w:tr>
      <w:tr>
        <w:tc>
          <w:tcPr>
            <w:tcW w:type="dxa" w:w="220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vAlign w:val="center"/>
          </w:tcPr>
          <w:p>
            <w:r>
              <w:rPr>
                <w:rFonts w:ascii="Arial" w:cs="Arial" w:eastAsia="Arial" w:hAnsi="Arial"/>
                <w:color w:val="333333"/>
                <w:sz w:val="17"/>
                <w:szCs w:val="17"/>
              </w:rPr>
              <w:t xml:space="preserve">Physical abuse by staff</w:t>
            </w:r>
          </w:p>
        </w:tc>
        <w:tc>
          <w:tcPr>
            <w:tcW w:type="dxa" w:w="200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vAlign w:val="center"/>
          </w:tcPr>
          <w:p>
            <w:r>
              <w:rPr>
                <w:rFonts w:ascii="Arial" w:cs="Arial" w:eastAsia="Arial" w:hAnsi="Arial"/>
                <w:color w:val="333333"/>
                <w:sz w:val="17"/>
                <w:szCs w:val="17"/>
              </w:rPr>
              <w:t xml:space="preserve">Residents</w:t>
            </w:r>
          </w:p>
        </w:tc>
        <w:tc>
          <w:tcPr>
            <w:tcW w:type="dxa" w:w="320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vAlign w:val="center"/>
          </w:tcPr>
          <w:p>
            <w:r>
              <w:rPr>
                <w:rFonts w:ascii="Arial" w:cs="Arial" w:eastAsia="Arial" w:hAnsi="Arial"/>
                <w:color w:val="333333"/>
                <w:sz w:val="17"/>
                <w:szCs w:val="17"/>
              </w:rPr>
              <w:t xml:space="preserve">Safer recruitment (Enhanced DBS, two references); safeguarding training at induction and annually; supervision and appraisal programme; CCTV in communal areas; open visiting policy</w:t>
            </w:r>
          </w:p>
        </w:tc>
        <w:tc>
          <w:tcPr>
            <w:tcW w:type="dxa" w:w="320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vAlign w:val="center"/>
          </w:tcPr>
          <w:p>
            <w:r>
              <w:rPr>
                <w:rFonts w:ascii="Arial" w:cs="Arial" w:eastAsia="Arial" w:hAnsi="Arial"/>
                <w:color w:val="333333"/>
                <w:sz w:val="17"/>
                <w:szCs w:val="17"/>
              </w:rPr>
              <w:t xml:space="preserve">Unannounced spot-check audits; anonymous staff reporting line; body map documentation at each personal care episode; exit interview analysis for patterns</w:t>
            </w:r>
          </w:p>
        </w:tc>
        <w:tc>
          <w:tcPr>
            <w:tcW w:type="dxa" w:w="80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vAlign w:val="center"/>
          </w:tcPr>
          <w:p>
            <w:pPr>
              <w:jc w:val="center"/>
            </w:pPr>
            <w:r>
              <w:rPr>
                <w:rFonts w:ascii="Arial" w:cs="Arial" w:eastAsia="Arial" w:hAnsi="Arial"/>
                <w:b w:val="false"/>
                <w:bCs w:val="false"/>
                <w:color w:val="333333"/>
                <w:sz w:val="17"/>
                <w:szCs w:val="17"/>
              </w:rPr>
              <w:t xml:space="preserve">2</w:t>
            </w:r>
          </w:p>
        </w:tc>
        <w:tc>
          <w:tcPr>
            <w:tcW w:type="dxa" w:w="80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vAlign w:val="center"/>
          </w:tcPr>
          <w:p>
            <w:pPr>
              <w:jc w:val="center"/>
            </w:pPr>
            <w:r>
              <w:rPr>
                <w:rFonts w:ascii="Arial" w:cs="Arial" w:eastAsia="Arial" w:hAnsi="Arial"/>
                <w:b w:val="false"/>
                <w:bCs w:val="false"/>
                <w:color w:val="333333"/>
                <w:sz w:val="17"/>
                <w:szCs w:val="17"/>
              </w:rPr>
              <w:t xml:space="preserve">5</w:t>
            </w:r>
          </w:p>
        </w:tc>
        <w:tc>
          <w:tcPr>
            <w:tcW w:type="dxa" w:w="900"/>
            <w:tcBorders>
              <w:top w:val="single" w:color="CCCCCC" w:sz="1"/>
              <w:left w:val="single" w:color="CCCCCC" w:sz="1"/>
              <w:bottom w:val="single" w:color="CCCCCC" w:sz="1"/>
              <w:right w:val="single" w:color="CCCCCC" w:sz="1"/>
            </w:tcBorders>
            <w:shd w:fill="FEF5E7" w:val="clear"/>
            <w:tcMar>
              <w:top w:type="dxa" w:w="50"/>
              <w:left w:type="dxa" w:w="80"/>
              <w:bottom w:type="dxa" w:w="50"/>
              <w:right w:type="dxa" w:w="80"/>
            </w:tcMar>
            <w:vAlign w:val="center"/>
          </w:tcPr>
          <w:p>
            <w:pPr>
              <w:jc w:val="center"/>
            </w:pPr>
            <w:r>
              <w:rPr>
                <w:rFonts w:ascii="Arial" w:cs="Arial" w:eastAsia="Arial" w:hAnsi="Arial"/>
                <w:b/>
                <w:bCs/>
                <w:color w:val="F39C12"/>
                <w:sz w:val="17"/>
                <w:szCs w:val="17"/>
              </w:rPr>
              <w:t xml:space="preserve">10</w:t>
            </w:r>
          </w:p>
        </w:tc>
        <w:tc>
          <w:tcPr>
            <w:tcW w:type="dxa" w:w="1578"/>
            <w:tcBorders>
              <w:top w:val="single" w:color="CCCCCC" w:sz="1"/>
              <w:left w:val="single" w:color="CCCCCC" w:sz="1"/>
              <w:bottom w:val="single" w:color="CCCCCC" w:sz="1"/>
              <w:right w:val="single" w:color="CCCCCC" w:sz="1"/>
            </w:tcBorders>
            <w:shd w:fill="FEF5E7" w:val="clear"/>
            <w:tcMar>
              <w:top w:type="dxa" w:w="50"/>
              <w:left w:type="dxa" w:w="80"/>
              <w:bottom w:type="dxa" w:w="50"/>
              <w:right w:type="dxa" w:w="80"/>
            </w:tcMar>
            <w:vAlign w:val="center"/>
          </w:tcPr>
          <w:p>
            <w:pPr>
              <w:jc w:val="center"/>
            </w:pPr>
            <w:r>
              <w:rPr>
                <w:rFonts w:ascii="Arial" w:cs="Arial" w:eastAsia="Arial" w:hAnsi="Arial"/>
                <w:b/>
                <w:bCs/>
                <w:color w:val="F39C12"/>
                <w:sz w:val="17"/>
                <w:szCs w:val="17"/>
              </w:rPr>
              <w:t xml:space="preserve">MEDIUM</w:t>
            </w:r>
          </w:p>
        </w:tc>
      </w:tr>
      <w:tr>
        <w:tc>
          <w:tcPr>
            <w:tcW w:type="dxa" w:w="2200"/>
            <w:tcBorders>
              <w:top w:val="single" w:color="CCCCCC" w:sz="1"/>
              <w:left w:val="single" w:color="CCCCCC" w:sz="1"/>
              <w:bottom w:val="single" w:color="CCCCCC" w:sz="1"/>
              <w:right w:val="single" w:color="CCCCCC" w:sz="1"/>
            </w:tcBorders>
            <w:shd w:fill="FDF6E3" w:val="clear"/>
            <w:tcMar>
              <w:top w:type="dxa" w:w="50"/>
              <w:left w:type="dxa" w:w="80"/>
              <w:bottom w:type="dxa" w:w="50"/>
              <w:right w:type="dxa" w:w="80"/>
            </w:tcMar>
            <w:vAlign w:val="center"/>
          </w:tcPr>
          <w:p>
            <w:r>
              <w:rPr>
                <w:rFonts w:ascii="Arial" w:cs="Arial" w:eastAsia="Arial" w:hAnsi="Arial"/>
                <w:color w:val="333333"/>
                <w:sz w:val="17"/>
                <w:szCs w:val="17"/>
              </w:rPr>
              <w:t xml:space="preserve">Neglect / acts of omission</w:t>
            </w:r>
          </w:p>
        </w:tc>
        <w:tc>
          <w:tcPr>
            <w:tcW w:type="dxa" w:w="2000"/>
            <w:tcBorders>
              <w:top w:val="single" w:color="CCCCCC" w:sz="1"/>
              <w:left w:val="single" w:color="CCCCCC" w:sz="1"/>
              <w:bottom w:val="single" w:color="CCCCCC" w:sz="1"/>
              <w:right w:val="single" w:color="CCCCCC" w:sz="1"/>
            </w:tcBorders>
            <w:shd w:fill="FDF6E3" w:val="clear"/>
            <w:tcMar>
              <w:top w:type="dxa" w:w="50"/>
              <w:left w:type="dxa" w:w="80"/>
              <w:bottom w:type="dxa" w:w="50"/>
              <w:right w:type="dxa" w:w="80"/>
            </w:tcMar>
            <w:vAlign w:val="center"/>
          </w:tcPr>
          <w:p>
            <w:r>
              <w:rPr>
                <w:rFonts w:ascii="Arial" w:cs="Arial" w:eastAsia="Arial" w:hAnsi="Arial"/>
                <w:color w:val="333333"/>
                <w:sz w:val="17"/>
                <w:szCs w:val="17"/>
              </w:rPr>
              <w:t xml:space="preserve">Residents</w:t>
            </w:r>
          </w:p>
        </w:tc>
        <w:tc>
          <w:tcPr>
            <w:tcW w:type="dxa" w:w="3200"/>
            <w:tcBorders>
              <w:top w:val="single" w:color="CCCCCC" w:sz="1"/>
              <w:left w:val="single" w:color="CCCCCC" w:sz="1"/>
              <w:bottom w:val="single" w:color="CCCCCC" w:sz="1"/>
              <w:right w:val="single" w:color="CCCCCC" w:sz="1"/>
            </w:tcBorders>
            <w:shd w:fill="FDF6E3" w:val="clear"/>
            <w:tcMar>
              <w:top w:type="dxa" w:w="50"/>
              <w:left w:type="dxa" w:w="80"/>
              <w:bottom w:type="dxa" w:w="50"/>
              <w:right w:type="dxa" w:w="80"/>
            </w:tcMar>
            <w:vAlign w:val="center"/>
          </w:tcPr>
          <w:p>
            <w:r>
              <w:rPr>
                <w:rFonts w:ascii="Arial" w:cs="Arial" w:eastAsia="Arial" w:hAnsi="Arial"/>
                <w:color w:val="333333"/>
                <w:sz w:val="17"/>
                <w:szCs w:val="17"/>
              </w:rPr>
              <w:t xml:space="preserve">Person-centred care plans reviewed monthly; minimum staffing levels maintained; nutrition and hydration monitoring; pressure area care protocol; call bell response monitoring</w:t>
            </w:r>
          </w:p>
        </w:tc>
        <w:tc>
          <w:tcPr>
            <w:tcW w:type="dxa" w:w="3200"/>
            <w:tcBorders>
              <w:top w:val="single" w:color="CCCCCC" w:sz="1"/>
              <w:left w:val="single" w:color="CCCCCC" w:sz="1"/>
              <w:bottom w:val="single" w:color="CCCCCC" w:sz="1"/>
              <w:right w:val="single" w:color="CCCCCC" w:sz="1"/>
            </w:tcBorders>
            <w:shd w:fill="FDF6E3" w:val="clear"/>
            <w:tcMar>
              <w:top w:type="dxa" w:w="50"/>
              <w:left w:type="dxa" w:w="80"/>
              <w:bottom w:type="dxa" w:w="50"/>
              <w:right w:type="dxa" w:w="80"/>
            </w:tcMar>
            <w:vAlign w:val="center"/>
          </w:tcPr>
          <w:p>
            <w:r>
              <w:rPr>
                <w:rFonts w:ascii="Arial" w:cs="Arial" w:eastAsia="Arial" w:hAnsi="Arial"/>
                <w:color w:val="333333"/>
                <w:sz w:val="17"/>
                <w:szCs w:val="17"/>
              </w:rPr>
              <w:t xml:space="preserve">Unannounced care quality observation audits; resident and family feedback mechanism; weight monitoring charts reviewed weekly; fluid intake audit monthly</w:t>
            </w:r>
          </w:p>
        </w:tc>
        <w:tc>
          <w:tcPr>
            <w:tcW w:type="dxa" w:w="800"/>
            <w:tcBorders>
              <w:top w:val="single" w:color="CCCCCC" w:sz="1"/>
              <w:left w:val="single" w:color="CCCCCC" w:sz="1"/>
              <w:bottom w:val="single" w:color="CCCCCC" w:sz="1"/>
              <w:right w:val="single" w:color="CCCCCC" w:sz="1"/>
            </w:tcBorders>
            <w:shd w:fill="FDF6E3" w:val="clear"/>
            <w:tcMar>
              <w:top w:type="dxa" w:w="50"/>
              <w:left w:type="dxa" w:w="80"/>
              <w:bottom w:type="dxa" w:w="50"/>
              <w:right w:type="dxa" w:w="80"/>
            </w:tcMar>
            <w:vAlign w:val="center"/>
          </w:tcPr>
          <w:p>
            <w:pPr>
              <w:jc w:val="center"/>
            </w:pPr>
            <w:r>
              <w:rPr>
                <w:rFonts w:ascii="Arial" w:cs="Arial" w:eastAsia="Arial" w:hAnsi="Arial"/>
                <w:b w:val="false"/>
                <w:bCs w:val="false"/>
                <w:color w:val="333333"/>
                <w:sz w:val="17"/>
                <w:szCs w:val="17"/>
              </w:rPr>
              <w:t xml:space="preserve">2</w:t>
            </w:r>
          </w:p>
        </w:tc>
        <w:tc>
          <w:tcPr>
            <w:tcW w:type="dxa" w:w="800"/>
            <w:tcBorders>
              <w:top w:val="single" w:color="CCCCCC" w:sz="1"/>
              <w:left w:val="single" w:color="CCCCCC" w:sz="1"/>
              <w:bottom w:val="single" w:color="CCCCCC" w:sz="1"/>
              <w:right w:val="single" w:color="CCCCCC" w:sz="1"/>
            </w:tcBorders>
            <w:shd w:fill="FDF6E3" w:val="clear"/>
            <w:tcMar>
              <w:top w:type="dxa" w:w="50"/>
              <w:left w:type="dxa" w:w="80"/>
              <w:bottom w:type="dxa" w:w="50"/>
              <w:right w:type="dxa" w:w="80"/>
            </w:tcMar>
            <w:vAlign w:val="center"/>
          </w:tcPr>
          <w:p>
            <w:pPr>
              <w:jc w:val="center"/>
            </w:pPr>
            <w:r>
              <w:rPr>
                <w:rFonts w:ascii="Arial" w:cs="Arial" w:eastAsia="Arial" w:hAnsi="Arial"/>
                <w:b w:val="false"/>
                <w:bCs w:val="false"/>
                <w:color w:val="333333"/>
                <w:sz w:val="17"/>
                <w:szCs w:val="17"/>
              </w:rPr>
              <w:t xml:space="preserve">4</w:t>
            </w:r>
          </w:p>
        </w:tc>
        <w:tc>
          <w:tcPr>
            <w:tcW w:type="dxa" w:w="900"/>
            <w:tcBorders>
              <w:top w:val="single" w:color="CCCCCC" w:sz="1"/>
              <w:left w:val="single" w:color="CCCCCC" w:sz="1"/>
              <w:bottom w:val="single" w:color="CCCCCC" w:sz="1"/>
              <w:right w:val="single" w:color="CCCCCC" w:sz="1"/>
            </w:tcBorders>
            <w:shd w:fill="FEF5E7" w:val="clear"/>
            <w:tcMar>
              <w:top w:type="dxa" w:w="50"/>
              <w:left w:type="dxa" w:w="80"/>
              <w:bottom w:type="dxa" w:w="50"/>
              <w:right w:type="dxa" w:w="80"/>
            </w:tcMar>
            <w:vAlign w:val="center"/>
          </w:tcPr>
          <w:p>
            <w:pPr>
              <w:jc w:val="center"/>
            </w:pPr>
            <w:r>
              <w:rPr>
                <w:rFonts w:ascii="Arial" w:cs="Arial" w:eastAsia="Arial" w:hAnsi="Arial"/>
                <w:b/>
                <w:bCs/>
                <w:color w:val="F39C12"/>
                <w:sz w:val="17"/>
                <w:szCs w:val="17"/>
              </w:rPr>
              <w:t xml:space="preserve">8</w:t>
            </w:r>
          </w:p>
        </w:tc>
        <w:tc>
          <w:tcPr>
            <w:tcW w:type="dxa" w:w="1578"/>
            <w:tcBorders>
              <w:top w:val="single" w:color="CCCCCC" w:sz="1"/>
              <w:left w:val="single" w:color="CCCCCC" w:sz="1"/>
              <w:bottom w:val="single" w:color="CCCCCC" w:sz="1"/>
              <w:right w:val="single" w:color="CCCCCC" w:sz="1"/>
            </w:tcBorders>
            <w:shd w:fill="FEF5E7" w:val="clear"/>
            <w:tcMar>
              <w:top w:type="dxa" w:w="50"/>
              <w:left w:type="dxa" w:w="80"/>
              <w:bottom w:type="dxa" w:w="50"/>
              <w:right w:type="dxa" w:w="80"/>
            </w:tcMar>
            <w:vAlign w:val="center"/>
          </w:tcPr>
          <w:p>
            <w:pPr>
              <w:jc w:val="center"/>
            </w:pPr>
            <w:r>
              <w:rPr>
                <w:rFonts w:ascii="Arial" w:cs="Arial" w:eastAsia="Arial" w:hAnsi="Arial"/>
                <w:b/>
                <w:bCs/>
                <w:color w:val="F39C12"/>
                <w:sz w:val="17"/>
                <w:szCs w:val="17"/>
              </w:rPr>
              <w:t xml:space="preserve">MEDIUM</w:t>
            </w:r>
          </w:p>
        </w:tc>
      </w:tr>
      <w:tr>
        <w:tc>
          <w:tcPr>
            <w:tcW w:type="dxa" w:w="220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vAlign w:val="center"/>
          </w:tcPr>
          <w:p>
            <w:r>
              <w:rPr>
                <w:rFonts w:ascii="Arial" w:cs="Arial" w:eastAsia="Arial" w:hAnsi="Arial"/>
                <w:color w:val="333333"/>
                <w:sz w:val="17"/>
                <w:szCs w:val="17"/>
              </w:rPr>
              <w:t xml:space="preserve">Financial abuse / exploitation</w:t>
            </w:r>
          </w:p>
        </w:tc>
        <w:tc>
          <w:tcPr>
            <w:tcW w:type="dxa" w:w="200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vAlign w:val="center"/>
          </w:tcPr>
          <w:p>
            <w:r>
              <w:rPr>
                <w:rFonts w:ascii="Arial" w:cs="Arial" w:eastAsia="Arial" w:hAnsi="Arial"/>
                <w:color w:val="333333"/>
                <w:sz w:val="17"/>
                <w:szCs w:val="17"/>
              </w:rPr>
              <w:t xml:space="preserve">Residents</w:t>
            </w:r>
          </w:p>
        </w:tc>
        <w:tc>
          <w:tcPr>
            <w:tcW w:type="dxa" w:w="320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vAlign w:val="center"/>
          </w:tcPr>
          <w:p>
            <w:r>
              <w:rPr>
                <w:rFonts w:ascii="Arial" w:cs="Arial" w:eastAsia="Arial" w:hAnsi="Arial"/>
                <w:color w:val="333333"/>
                <w:sz w:val="17"/>
                <w:szCs w:val="17"/>
              </w:rPr>
              <w:t xml:space="preserve">Financial management policy; two-person authorisation for transactions over £50; personal allowance records audited monthly; staff prohibited from financial involvement with residents</w:t>
            </w:r>
          </w:p>
        </w:tc>
        <w:tc>
          <w:tcPr>
            <w:tcW w:type="dxa" w:w="320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vAlign w:val="center"/>
          </w:tcPr>
          <w:p>
            <w:r>
              <w:rPr>
                <w:rFonts w:ascii="Arial" w:cs="Arial" w:eastAsia="Arial" w:hAnsi="Arial"/>
                <w:color w:val="333333"/>
                <w:sz w:val="17"/>
                <w:szCs w:val="17"/>
              </w:rPr>
              <w:t xml:space="preserve">Annual financial audit by independent party; appointeeship/deputyship oversight; staff declaration of interest register; banking irregularity escalation protocol</w:t>
            </w:r>
          </w:p>
        </w:tc>
        <w:tc>
          <w:tcPr>
            <w:tcW w:type="dxa" w:w="80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vAlign w:val="center"/>
          </w:tcPr>
          <w:p>
            <w:pPr>
              <w:jc w:val="center"/>
            </w:pPr>
            <w:r>
              <w:rPr>
                <w:rFonts w:ascii="Arial" w:cs="Arial" w:eastAsia="Arial" w:hAnsi="Arial"/>
                <w:b w:val="false"/>
                <w:bCs w:val="false"/>
                <w:color w:val="333333"/>
                <w:sz w:val="17"/>
                <w:szCs w:val="17"/>
              </w:rPr>
              <w:t xml:space="preserve">2</w:t>
            </w:r>
          </w:p>
        </w:tc>
        <w:tc>
          <w:tcPr>
            <w:tcW w:type="dxa" w:w="80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vAlign w:val="center"/>
          </w:tcPr>
          <w:p>
            <w:pPr>
              <w:jc w:val="center"/>
            </w:pPr>
            <w:r>
              <w:rPr>
                <w:rFonts w:ascii="Arial" w:cs="Arial" w:eastAsia="Arial" w:hAnsi="Arial"/>
                <w:b w:val="false"/>
                <w:bCs w:val="false"/>
                <w:color w:val="333333"/>
                <w:sz w:val="17"/>
                <w:szCs w:val="17"/>
              </w:rPr>
              <w:t xml:space="preserve">4</w:t>
            </w:r>
          </w:p>
        </w:tc>
        <w:tc>
          <w:tcPr>
            <w:tcW w:type="dxa" w:w="900"/>
            <w:tcBorders>
              <w:top w:val="single" w:color="CCCCCC" w:sz="1"/>
              <w:left w:val="single" w:color="CCCCCC" w:sz="1"/>
              <w:bottom w:val="single" w:color="CCCCCC" w:sz="1"/>
              <w:right w:val="single" w:color="CCCCCC" w:sz="1"/>
            </w:tcBorders>
            <w:shd w:fill="FEF5E7" w:val="clear"/>
            <w:tcMar>
              <w:top w:type="dxa" w:w="50"/>
              <w:left w:type="dxa" w:w="80"/>
              <w:bottom w:type="dxa" w:w="50"/>
              <w:right w:type="dxa" w:w="80"/>
            </w:tcMar>
            <w:vAlign w:val="center"/>
          </w:tcPr>
          <w:p>
            <w:pPr>
              <w:jc w:val="center"/>
            </w:pPr>
            <w:r>
              <w:rPr>
                <w:rFonts w:ascii="Arial" w:cs="Arial" w:eastAsia="Arial" w:hAnsi="Arial"/>
                <w:b/>
                <w:bCs/>
                <w:color w:val="F39C12"/>
                <w:sz w:val="17"/>
                <w:szCs w:val="17"/>
              </w:rPr>
              <w:t xml:space="preserve">8</w:t>
            </w:r>
          </w:p>
        </w:tc>
        <w:tc>
          <w:tcPr>
            <w:tcW w:type="dxa" w:w="1578"/>
            <w:tcBorders>
              <w:top w:val="single" w:color="CCCCCC" w:sz="1"/>
              <w:left w:val="single" w:color="CCCCCC" w:sz="1"/>
              <w:bottom w:val="single" w:color="CCCCCC" w:sz="1"/>
              <w:right w:val="single" w:color="CCCCCC" w:sz="1"/>
            </w:tcBorders>
            <w:shd w:fill="FEF5E7" w:val="clear"/>
            <w:tcMar>
              <w:top w:type="dxa" w:w="50"/>
              <w:left w:type="dxa" w:w="80"/>
              <w:bottom w:type="dxa" w:w="50"/>
              <w:right w:type="dxa" w:w="80"/>
            </w:tcMar>
            <w:vAlign w:val="center"/>
          </w:tcPr>
          <w:p>
            <w:pPr>
              <w:jc w:val="center"/>
            </w:pPr>
            <w:r>
              <w:rPr>
                <w:rFonts w:ascii="Arial" w:cs="Arial" w:eastAsia="Arial" w:hAnsi="Arial"/>
                <w:b/>
                <w:bCs/>
                <w:color w:val="F39C12"/>
                <w:sz w:val="17"/>
                <w:szCs w:val="17"/>
              </w:rPr>
              <w:t xml:space="preserve">MEDIUM</w:t>
            </w:r>
          </w:p>
        </w:tc>
      </w:tr>
      <w:tr>
        <w:tc>
          <w:tcPr>
            <w:tcW w:type="dxa" w:w="2200"/>
            <w:tcBorders>
              <w:top w:val="single" w:color="CCCCCC" w:sz="1"/>
              <w:left w:val="single" w:color="CCCCCC" w:sz="1"/>
              <w:bottom w:val="single" w:color="CCCCCC" w:sz="1"/>
              <w:right w:val="single" w:color="CCCCCC" w:sz="1"/>
            </w:tcBorders>
            <w:shd w:fill="FDF6E3" w:val="clear"/>
            <w:tcMar>
              <w:top w:type="dxa" w:w="50"/>
              <w:left w:type="dxa" w:w="80"/>
              <w:bottom w:type="dxa" w:w="50"/>
              <w:right w:type="dxa" w:w="80"/>
            </w:tcMar>
            <w:vAlign w:val="center"/>
          </w:tcPr>
          <w:p>
            <w:r>
              <w:rPr>
                <w:rFonts w:ascii="Arial" w:cs="Arial" w:eastAsia="Arial" w:hAnsi="Arial"/>
                <w:color w:val="333333"/>
                <w:sz w:val="17"/>
                <w:szCs w:val="17"/>
              </w:rPr>
              <w:t xml:space="preserve">Resident-on-resident aggression</w:t>
            </w:r>
          </w:p>
        </w:tc>
        <w:tc>
          <w:tcPr>
            <w:tcW w:type="dxa" w:w="2000"/>
            <w:tcBorders>
              <w:top w:val="single" w:color="CCCCCC" w:sz="1"/>
              <w:left w:val="single" w:color="CCCCCC" w:sz="1"/>
              <w:bottom w:val="single" w:color="CCCCCC" w:sz="1"/>
              <w:right w:val="single" w:color="CCCCCC" w:sz="1"/>
            </w:tcBorders>
            <w:shd w:fill="FDF6E3" w:val="clear"/>
            <w:tcMar>
              <w:top w:type="dxa" w:w="50"/>
              <w:left w:type="dxa" w:w="80"/>
              <w:bottom w:type="dxa" w:w="50"/>
              <w:right w:type="dxa" w:w="80"/>
            </w:tcMar>
            <w:vAlign w:val="center"/>
          </w:tcPr>
          <w:p>
            <w:r>
              <w:rPr>
                <w:rFonts w:ascii="Arial" w:cs="Arial" w:eastAsia="Arial" w:hAnsi="Arial"/>
                <w:color w:val="333333"/>
                <w:sz w:val="17"/>
                <w:szCs w:val="17"/>
              </w:rPr>
              <w:t xml:space="preserve">Residents</w:t>
            </w:r>
          </w:p>
        </w:tc>
        <w:tc>
          <w:tcPr>
            <w:tcW w:type="dxa" w:w="3200"/>
            <w:tcBorders>
              <w:top w:val="single" w:color="CCCCCC" w:sz="1"/>
              <w:left w:val="single" w:color="CCCCCC" w:sz="1"/>
              <w:bottom w:val="single" w:color="CCCCCC" w:sz="1"/>
              <w:right w:val="single" w:color="CCCCCC" w:sz="1"/>
            </w:tcBorders>
            <w:shd w:fill="FDF6E3" w:val="clear"/>
            <w:tcMar>
              <w:top w:type="dxa" w:w="50"/>
              <w:left w:type="dxa" w:w="80"/>
              <w:bottom w:type="dxa" w:w="50"/>
              <w:right w:type="dxa" w:w="80"/>
            </w:tcMar>
            <w:vAlign w:val="center"/>
          </w:tcPr>
          <w:p>
            <w:r>
              <w:rPr>
                <w:rFonts w:ascii="Arial" w:cs="Arial" w:eastAsia="Arial" w:hAnsi="Arial"/>
                <w:color w:val="333333"/>
                <w:sz w:val="17"/>
                <w:szCs w:val="17"/>
              </w:rPr>
              <w:t xml:space="preserve">Individual behaviour support plans; adequate supervision in communal areas; environmental design (quiet areas, personal space); de-escalation training for all staff</w:t>
            </w:r>
          </w:p>
        </w:tc>
        <w:tc>
          <w:tcPr>
            <w:tcW w:type="dxa" w:w="3200"/>
            <w:tcBorders>
              <w:top w:val="single" w:color="CCCCCC" w:sz="1"/>
              <w:left w:val="single" w:color="CCCCCC" w:sz="1"/>
              <w:bottom w:val="single" w:color="CCCCCC" w:sz="1"/>
              <w:right w:val="single" w:color="CCCCCC" w:sz="1"/>
            </w:tcBorders>
            <w:shd w:fill="FDF6E3" w:val="clear"/>
            <w:tcMar>
              <w:top w:type="dxa" w:w="50"/>
              <w:left w:type="dxa" w:w="80"/>
              <w:bottom w:type="dxa" w:w="50"/>
              <w:right w:type="dxa" w:w="80"/>
            </w:tcMar>
            <w:vAlign w:val="center"/>
          </w:tcPr>
          <w:p>
            <w:r>
              <w:rPr>
                <w:rFonts w:ascii="Arial" w:cs="Arial" w:eastAsia="Arial" w:hAnsi="Arial"/>
                <w:color w:val="333333"/>
                <w:sz w:val="17"/>
                <w:szCs w:val="17"/>
              </w:rPr>
              <w:t xml:space="preserve">ABC behaviour charts; MDT review for residents exhibiting challenging behaviour; incident trend analysis; room and seating plan review; medication review for contributing factors</w:t>
            </w:r>
          </w:p>
        </w:tc>
        <w:tc>
          <w:tcPr>
            <w:tcW w:type="dxa" w:w="800"/>
            <w:tcBorders>
              <w:top w:val="single" w:color="CCCCCC" w:sz="1"/>
              <w:left w:val="single" w:color="CCCCCC" w:sz="1"/>
              <w:bottom w:val="single" w:color="CCCCCC" w:sz="1"/>
              <w:right w:val="single" w:color="CCCCCC" w:sz="1"/>
            </w:tcBorders>
            <w:shd w:fill="FDF6E3" w:val="clear"/>
            <w:tcMar>
              <w:top w:type="dxa" w:w="50"/>
              <w:left w:type="dxa" w:w="80"/>
              <w:bottom w:type="dxa" w:w="50"/>
              <w:right w:type="dxa" w:w="80"/>
            </w:tcMar>
            <w:vAlign w:val="center"/>
          </w:tcPr>
          <w:p>
            <w:pPr>
              <w:jc w:val="center"/>
            </w:pPr>
            <w:r>
              <w:rPr>
                <w:rFonts w:ascii="Arial" w:cs="Arial" w:eastAsia="Arial" w:hAnsi="Arial"/>
                <w:b w:val="false"/>
                <w:bCs w:val="false"/>
                <w:color w:val="333333"/>
                <w:sz w:val="17"/>
                <w:szCs w:val="17"/>
              </w:rPr>
              <w:t xml:space="preserve">3</w:t>
            </w:r>
          </w:p>
        </w:tc>
        <w:tc>
          <w:tcPr>
            <w:tcW w:type="dxa" w:w="800"/>
            <w:tcBorders>
              <w:top w:val="single" w:color="CCCCCC" w:sz="1"/>
              <w:left w:val="single" w:color="CCCCCC" w:sz="1"/>
              <w:bottom w:val="single" w:color="CCCCCC" w:sz="1"/>
              <w:right w:val="single" w:color="CCCCCC" w:sz="1"/>
            </w:tcBorders>
            <w:shd w:fill="FDF6E3" w:val="clear"/>
            <w:tcMar>
              <w:top w:type="dxa" w:w="50"/>
              <w:left w:type="dxa" w:w="80"/>
              <w:bottom w:type="dxa" w:w="50"/>
              <w:right w:type="dxa" w:w="80"/>
            </w:tcMar>
            <w:vAlign w:val="center"/>
          </w:tcPr>
          <w:p>
            <w:pPr>
              <w:jc w:val="center"/>
            </w:pPr>
            <w:r>
              <w:rPr>
                <w:rFonts w:ascii="Arial" w:cs="Arial" w:eastAsia="Arial" w:hAnsi="Arial"/>
                <w:b w:val="false"/>
                <w:bCs w:val="false"/>
                <w:color w:val="333333"/>
                <w:sz w:val="17"/>
                <w:szCs w:val="17"/>
              </w:rPr>
              <w:t xml:space="preserve">3</w:t>
            </w:r>
          </w:p>
        </w:tc>
        <w:tc>
          <w:tcPr>
            <w:tcW w:type="dxa" w:w="900"/>
            <w:tcBorders>
              <w:top w:val="single" w:color="CCCCCC" w:sz="1"/>
              <w:left w:val="single" w:color="CCCCCC" w:sz="1"/>
              <w:bottom w:val="single" w:color="CCCCCC" w:sz="1"/>
              <w:right w:val="single" w:color="CCCCCC" w:sz="1"/>
            </w:tcBorders>
            <w:shd w:fill="FEF5E7" w:val="clear"/>
            <w:tcMar>
              <w:top w:type="dxa" w:w="50"/>
              <w:left w:type="dxa" w:w="80"/>
              <w:bottom w:type="dxa" w:w="50"/>
              <w:right w:type="dxa" w:w="80"/>
            </w:tcMar>
            <w:vAlign w:val="center"/>
          </w:tcPr>
          <w:p>
            <w:pPr>
              <w:jc w:val="center"/>
            </w:pPr>
            <w:r>
              <w:rPr>
                <w:rFonts w:ascii="Arial" w:cs="Arial" w:eastAsia="Arial" w:hAnsi="Arial"/>
                <w:b/>
                <w:bCs/>
                <w:color w:val="F39C12"/>
                <w:sz w:val="17"/>
                <w:szCs w:val="17"/>
              </w:rPr>
              <w:t xml:space="preserve">9</w:t>
            </w:r>
          </w:p>
        </w:tc>
        <w:tc>
          <w:tcPr>
            <w:tcW w:type="dxa" w:w="1578"/>
            <w:tcBorders>
              <w:top w:val="single" w:color="CCCCCC" w:sz="1"/>
              <w:left w:val="single" w:color="CCCCCC" w:sz="1"/>
              <w:bottom w:val="single" w:color="CCCCCC" w:sz="1"/>
              <w:right w:val="single" w:color="CCCCCC" w:sz="1"/>
            </w:tcBorders>
            <w:shd w:fill="FEF5E7" w:val="clear"/>
            <w:tcMar>
              <w:top w:type="dxa" w:w="50"/>
              <w:left w:type="dxa" w:w="80"/>
              <w:bottom w:type="dxa" w:w="50"/>
              <w:right w:type="dxa" w:w="80"/>
            </w:tcMar>
            <w:vAlign w:val="center"/>
          </w:tcPr>
          <w:p>
            <w:pPr>
              <w:jc w:val="center"/>
            </w:pPr>
            <w:r>
              <w:rPr>
                <w:rFonts w:ascii="Arial" w:cs="Arial" w:eastAsia="Arial" w:hAnsi="Arial"/>
                <w:b/>
                <w:bCs/>
                <w:color w:val="F39C12"/>
                <w:sz w:val="17"/>
                <w:szCs w:val="17"/>
              </w:rPr>
              <w:t xml:space="preserve">MEDIUM</w:t>
            </w:r>
          </w:p>
        </w:tc>
      </w:tr>
      <w:tr>
        <w:tc>
          <w:tcPr>
            <w:tcW w:type="dxa" w:w="220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vAlign w:val="center"/>
          </w:tcPr>
          <w:p>
            <w:r>
              <w:rPr>
                <w:rFonts w:ascii="Arial" w:cs="Arial" w:eastAsia="Arial" w:hAnsi="Arial"/>
                <w:color w:val="333333"/>
                <w:sz w:val="17"/>
                <w:szCs w:val="17"/>
              </w:rPr>
              <w:t xml:space="preserve">Institutional / organisational abuse</w:t>
            </w:r>
          </w:p>
        </w:tc>
        <w:tc>
          <w:tcPr>
            <w:tcW w:type="dxa" w:w="200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vAlign w:val="center"/>
          </w:tcPr>
          <w:p>
            <w:r>
              <w:rPr>
                <w:rFonts w:ascii="Arial" w:cs="Arial" w:eastAsia="Arial" w:hAnsi="Arial"/>
                <w:color w:val="333333"/>
                <w:sz w:val="17"/>
                <w:szCs w:val="17"/>
              </w:rPr>
              <w:t xml:space="preserve">Residents</w:t>
            </w:r>
          </w:p>
        </w:tc>
        <w:tc>
          <w:tcPr>
            <w:tcW w:type="dxa" w:w="320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vAlign w:val="center"/>
          </w:tcPr>
          <w:p>
            <w:r>
              <w:rPr>
                <w:rFonts w:ascii="Arial" w:cs="Arial" w:eastAsia="Arial" w:hAnsi="Arial"/>
                <w:color w:val="333333"/>
                <w:sz w:val="17"/>
                <w:szCs w:val="17"/>
              </w:rPr>
              <w:t xml:space="preserve">Person-centred care delivery; flexible daily routines; choice offered at mealtimes, activities, bedtimes; whistleblowing policy; CQC inspection cycle</w:t>
            </w:r>
          </w:p>
        </w:tc>
        <w:tc>
          <w:tcPr>
            <w:tcW w:type="dxa" w:w="320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vAlign w:val="center"/>
          </w:tcPr>
          <w:p>
            <w:r>
              <w:rPr>
                <w:rFonts w:ascii="Arial" w:cs="Arial" w:eastAsia="Arial" w:hAnsi="Arial"/>
                <w:color w:val="333333"/>
                <w:sz w:val="17"/>
                <w:szCs w:val="17"/>
              </w:rPr>
              <w:t xml:space="preserve">Annual culture audit; resident and family forum quarterly; staff exit interview analysis; management 360-degree feedback; task-centred practice identification training</w:t>
            </w:r>
          </w:p>
        </w:tc>
        <w:tc>
          <w:tcPr>
            <w:tcW w:type="dxa" w:w="80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vAlign w:val="center"/>
          </w:tcPr>
          <w:p>
            <w:pPr>
              <w:jc w:val="center"/>
            </w:pPr>
            <w:r>
              <w:rPr>
                <w:rFonts w:ascii="Arial" w:cs="Arial" w:eastAsia="Arial" w:hAnsi="Arial"/>
                <w:b w:val="false"/>
                <w:bCs w:val="false"/>
                <w:color w:val="333333"/>
                <w:sz w:val="17"/>
                <w:szCs w:val="17"/>
              </w:rPr>
              <w:t xml:space="preserve">2</w:t>
            </w:r>
          </w:p>
        </w:tc>
        <w:tc>
          <w:tcPr>
            <w:tcW w:type="dxa" w:w="80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vAlign w:val="center"/>
          </w:tcPr>
          <w:p>
            <w:pPr>
              <w:jc w:val="center"/>
            </w:pPr>
            <w:r>
              <w:rPr>
                <w:rFonts w:ascii="Arial" w:cs="Arial" w:eastAsia="Arial" w:hAnsi="Arial"/>
                <w:b w:val="false"/>
                <w:bCs w:val="false"/>
                <w:color w:val="333333"/>
                <w:sz w:val="17"/>
                <w:szCs w:val="17"/>
              </w:rPr>
              <w:t xml:space="preserve">4</w:t>
            </w:r>
          </w:p>
        </w:tc>
        <w:tc>
          <w:tcPr>
            <w:tcW w:type="dxa" w:w="900"/>
            <w:tcBorders>
              <w:top w:val="single" w:color="CCCCCC" w:sz="1"/>
              <w:left w:val="single" w:color="CCCCCC" w:sz="1"/>
              <w:bottom w:val="single" w:color="CCCCCC" w:sz="1"/>
              <w:right w:val="single" w:color="CCCCCC" w:sz="1"/>
            </w:tcBorders>
            <w:shd w:fill="FEF5E7" w:val="clear"/>
            <w:tcMar>
              <w:top w:type="dxa" w:w="50"/>
              <w:left w:type="dxa" w:w="80"/>
              <w:bottom w:type="dxa" w:w="50"/>
              <w:right w:type="dxa" w:w="80"/>
            </w:tcMar>
            <w:vAlign w:val="center"/>
          </w:tcPr>
          <w:p>
            <w:pPr>
              <w:jc w:val="center"/>
            </w:pPr>
            <w:r>
              <w:rPr>
                <w:rFonts w:ascii="Arial" w:cs="Arial" w:eastAsia="Arial" w:hAnsi="Arial"/>
                <w:b/>
                <w:bCs/>
                <w:color w:val="F39C12"/>
                <w:sz w:val="17"/>
                <w:szCs w:val="17"/>
              </w:rPr>
              <w:t xml:space="preserve">8</w:t>
            </w:r>
          </w:p>
        </w:tc>
        <w:tc>
          <w:tcPr>
            <w:tcW w:type="dxa" w:w="1578"/>
            <w:tcBorders>
              <w:top w:val="single" w:color="CCCCCC" w:sz="1"/>
              <w:left w:val="single" w:color="CCCCCC" w:sz="1"/>
              <w:bottom w:val="single" w:color="CCCCCC" w:sz="1"/>
              <w:right w:val="single" w:color="CCCCCC" w:sz="1"/>
            </w:tcBorders>
            <w:shd w:fill="FEF5E7" w:val="clear"/>
            <w:tcMar>
              <w:top w:type="dxa" w:w="50"/>
              <w:left w:type="dxa" w:w="80"/>
              <w:bottom w:type="dxa" w:w="50"/>
              <w:right w:type="dxa" w:w="80"/>
            </w:tcMar>
            <w:vAlign w:val="center"/>
          </w:tcPr>
          <w:p>
            <w:pPr>
              <w:jc w:val="center"/>
            </w:pPr>
            <w:r>
              <w:rPr>
                <w:rFonts w:ascii="Arial" w:cs="Arial" w:eastAsia="Arial" w:hAnsi="Arial"/>
                <w:b/>
                <w:bCs/>
                <w:color w:val="F39C12"/>
                <w:sz w:val="17"/>
                <w:szCs w:val="17"/>
              </w:rPr>
              <w:t xml:space="preserve">MEDIUM</w:t>
            </w:r>
          </w:p>
        </w:tc>
      </w:tr>
      <w:tr>
        <w:tc>
          <w:tcPr>
            <w:tcW w:type="dxa" w:w="2200"/>
            <w:tcBorders>
              <w:top w:val="single" w:color="CCCCCC" w:sz="1"/>
              <w:left w:val="single" w:color="CCCCCC" w:sz="1"/>
              <w:bottom w:val="single" w:color="CCCCCC" w:sz="1"/>
              <w:right w:val="single" w:color="CCCCCC" w:sz="1"/>
            </w:tcBorders>
            <w:shd w:fill="FDF6E3" w:val="clear"/>
            <w:tcMar>
              <w:top w:type="dxa" w:w="50"/>
              <w:left w:type="dxa" w:w="80"/>
              <w:bottom w:type="dxa" w:w="50"/>
              <w:right w:type="dxa" w:w="80"/>
            </w:tcMar>
            <w:vAlign w:val="center"/>
          </w:tcPr>
          <w:p>
            <w:r>
              <w:rPr>
                <w:rFonts w:ascii="Arial" w:cs="Arial" w:eastAsia="Arial" w:hAnsi="Arial"/>
                <w:color w:val="333333"/>
                <w:sz w:val="17"/>
                <w:szCs w:val="17"/>
              </w:rPr>
              <w:t xml:space="preserve">Abuse by visitors / family members</w:t>
            </w:r>
          </w:p>
        </w:tc>
        <w:tc>
          <w:tcPr>
            <w:tcW w:type="dxa" w:w="2000"/>
            <w:tcBorders>
              <w:top w:val="single" w:color="CCCCCC" w:sz="1"/>
              <w:left w:val="single" w:color="CCCCCC" w:sz="1"/>
              <w:bottom w:val="single" w:color="CCCCCC" w:sz="1"/>
              <w:right w:val="single" w:color="CCCCCC" w:sz="1"/>
            </w:tcBorders>
            <w:shd w:fill="FDF6E3" w:val="clear"/>
            <w:tcMar>
              <w:top w:type="dxa" w:w="50"/>
              <w:left w:type="dxa" w:w="80"/>
              <w:bottom w:type="dxa" w:w="50"/>
              <w:right w:type="dxa" w:w="80"/>
            </w:tcMar>
            <w:vAlign w:val="center"/>
          </w:tcPr>
          <w:p>
            <w:r>
              <w:rPr>
                <w:rFonts w:ascii="Arial" w:cs="Arial" w:eastAsia="Arial" w:hAnsi="Arial"/>
                <w:color w:val="333333"/>
                <w:sz w:val="17"/>
                <w:szCs w:val="17"/>
              </w:rPr>
              <w:t xml:space="preserve">Residents</w:t>
            </w:r>
          </w:p>
        </w:tc>
        <w:tc>
          <w:tcPr>
            <w:tcW w:type="dxa" w:w="3200"/>
            <w:tcBorders>
              <w:top w:val="single" w:color="CCCCCC" w:sz="1"/>
              <w:left w:val="single" w:color="CCCCCC" w:sz="1"/>
              <w:bottom w:val="single" w:color="CCCCCC" w:sz="1"/>
              <w:right w:val="single" w:color="CCCCCC" w:sz="1"/>
            </w:tcBorders>
            <w:shd w:fill="FDF6E3" w:val="clear"/>
            <w:tcMar>
              <w:top w:type="dxa" w:w="50"/>
              <w:left w:type="dxa" w:w="80"/>
              <w:bottom w:type="dxa" w:w="50"/>
              <w:right w:type="dxa" w:w="80"/>
            </w:tcMar>
            <w:vAlign w:val="center"/>
          </w:tcPr>
          <w:p>
            <w:r>
              <w:rPr>
                <w:rFonts w:ascii="Arial" w:cs="Arial" w:eastAsia="Arial" w:hAnsi="Arial"/>
                <w:color w:val="333333"/>
                <w:sz w:val="17"/>
                <w:szCs w:val="17"/>
              </w:rPr>
              <w:t xml:space="preserve">Visitor signing-in/out register; private visiting areas; staff awareness of coercive control indicators; safeguarding training includes familial abuse awareness</w:t>
            </w:r>
          </w:p>
        </w:tc>
        <w:tc>
          <w:tcPr>
            <w:tcW w:type="dxa" w:w="3200"/>
            <w:tcBorders>
              <w:top w:val="single" w:color="CCCCCC" w:sz="1"/>
              <w:left w:val="single" w:color="CCCCCC" w:sz="1"/>
              <w:bottom w:val="single" w:color="CCCCCC" w:sz="1"/>
              <w:right w:val="single" w:color="CCCCCC" w:sz="1"/>
            </w:tcBorders>
            <w:shd w:fill="FDF6E3" w:val="clear"/>
            <w:tcMar>
              <w:top w:type="dxa" w:w="50"/>
              <w:left w:type="dxa" w:w="80"/>
              <w:bottom w:type="dxa" w:w="50"/>
              <w:right w:type="dxa" w:w="80"/>
            </w:tcMar>
            <w:vAlign w:val="center"/>
          </w:tcPr>
          <w:p>
            <w:r>
              <w:rPr>
                <w:rFonts w:ascii="Arial" w:cs="Arial" w:eastAsia="Arial" w:hAnsi="Arial"/>
                <w:color w:val="333333"/>
                <w:sz w:val="17"/>
                <w:szCs w:val="17"/>
              </w:rPr>
              <w:t xml:space="preserve">Risk-assessed visiting plans for known concerns; CCTV review capability; liaison with social worker and police; restricted access protocol where required</w:t>
            </w:r>
          </w:p>
        </w:tc>
        <w:tc>
          <w:tcPr>
            <w:tcW w:type="dxa" w:w="800"/>
            <w:tcBorders>
              <w:top w:val="single" w:color="CCCCCC" w:sz="1"/>
              <w:left w:val="single" w:color="CCCCCC" w:sz="1"/>
              <w:bottom w:val="single" w:color="CCCCCC" w:sz="1"/>
              <w:right w:val="single" w:color="CCCCCC" w:sz="1"/>
            </w:tcBorders>
            <w:shd w:fill="FDF6E3" w:val="clear"/>
            <w:tcMar>
              <w:top w:type="dxa" w:w="50"/>
              <w:left w:type="dxa" w:w="80"/>
              <w:bottom w:type="dxa" w:w="50"/>
              <w:right w:type="dxa" w:w="80"/>
            </w:tcMar>
            <w:vAlign w:val="center"/>
          </w:tcPr>
          <w:p>
            <w:pPr>
              <w:jc w:val="center"/>
            </w:pPr>
            <w:r>
              <w:rPr>
                <w:rFonts w:ascii="Arial" w:cs="Arial" w:eastAsia="Arial" w:hAnsi="Arial"/>
                <w:b w:val="false"/>
                <w:bCs w:val="false"/>
                <w:color w:val="333333"/>
                <w:sz w:val="17"/>
                <w:szCs w:val="17"/>
              </w:rPr>
              <w:t xml:space="preserve">2</w:t>
            </w:r>
          </w:p>
        </w:tc>
        <w:tc>
          <w:tcPr>
            <w:tcW w:type="dxa" w:w="800"/>
            <w:tcBorders>
              <w:top w:val="single" w:color="CCCCCC" w:sz="1"/>
              <w:left w:val="single" w:color="CCCCCC" w:sz="1"/>
              <w:bottom w:val="single" w:color="CCCCCC" w:sz="1"/>
              <w:right w:val="single" w:color="CCCCCC" w:sz="1"/>
            </w:tcBorders>
            <w:shd w:fill="FDF6E3" w:val="clear"/>
            <w:tcMar>
              <w:top w:type="dxa" w:w="50"/>
              <w:left w:type="dxa" w:w="80"/>
              <w:bottom w:type="dxa" w:w="50"/>
              <w:right w:type="dxa" w:w="80"/>
            </w:tcMar>
            <w:vAlign w:val="center"/>
          </w:tcPr>
          <w:p>
            <w:pPr>
              <w:jc w:val="center"/>
            </w:pPr>
            <w:r>
              <w:rPr>
                <w:rFonts w:ascii="Arial" w:cs="Arial" w:eastAsia="Arial" w:hAnsi="Arial"/>
                <w:b w:val="false"/>
                <w:bCs w:val="false"/>
                <w:color w:val="333333"/>
                <w:sz w:val="17"/>
                <w:szCs w:val="17"/>
              </w:rPr>
              <w:t xml:space="preserve">4</w:t>
            </w:r>
          </w:p>
        </w:tc>
        <w:tc>
          <w:tcPr>
            <w:tcW w:type="dxa" w:w="900"/>
            <w:tcBorders>
              <w:top w:val="single" w:color="CCCCCC" w:sz="1"/>
              <w:left w:val="single" w:color="CCCCCC" w:sz="1"/>
              <w:bottom w:val="single" w:color="CCCCCC" w:sz="1"/>
              <w:right w:val="single" w:color="CCCCCC" w:sz="1"/>
            </w:tcBorders>
            <w:shd w:fill="FEF5E7" w:val="clear"/>
            <w:tcMar>
              <w:top w:type="dxa" w:w="50"/>
              <w:left w:type="dxa" w:w="80"/>
              <w:bottom w:type="dxa" w:w="50"/>
              <w:right w:type="dxa" w:w="80"/>
            </w:tcMar>
            <w:vAlign w:val="center"/>
          </w:tcPr>
          <w:p>
            <w:pPr>
              <w:jc w:val="center"/>
            </w:pPr>
            <w:r>
              <w:rPr>
                <w:rFonts w:ascii="Arial" w:cs="Arial" w:eastAsia="Arial" w:hAnsi="Arial"/>
                <w:b/>
                <w:bCs/>
                <w:color w:val="F39C12"/>
                <w:sz w:val="17"/>
                <w:szCs w:val="17"/>
              </w:rPr>
              <w:t xml:space="preserve">8</w:t>
            </w:r>
          </w:p>
        </w:tc>
        <w:tc>
          <w:tcPr>
            <w:tcW w:type="dxa" w:w="1578"/>
            <w:tcBorders>
              <w:top w:val="single" w:color="CCCCCC" w:sz="1"/>
              <w:left w:val="single" w:color="CCCCCC" w:sz="1"/>
              <w:bottom w:val="single" w:color="CCCCCC" w:sz="1"/>
              <w:right w:val="single" w:color="CCCCCC" w:sz="1"/>
            </w:tcBorders>
            <w:shd w:fill="FEF5E7" w:val="clear"/>
            <w:tcMar>
              <w:top w:type="dxa" w:w="50"/>
              <w:left w:type="dxa" w:w="80"/>
              <w:bottom w:type="dxa" w:w="50"/>
              <w:right w:type="dxa" w:w="80"/>
            </w:tcMar>
            <w:vAlign w:val="center"/>
          </w:tcPr>
          <w:p>
            <w:pPr>
              <w:jc w:val="center"/>
            </w:pPr>
            <w:r>
              <w:rPr>
                <w:rFonts w:ascii="Arial" w:cs="Arial" w:eastAsia="Arial" w:hAnsi="Arial"/>
                <w:b/>
                <w:bCs/>
                <w:color w:val="F39C12"/>
                <w:sz w:val="17"/>
                <w:szCs w:val="17"/>
              </w:rPr>
              <w:t xml:space="preserve">MEDIUM</w:t>
            </w:r>
          </w:p>
        </w:tc>
      </w:tr>
      <w:tr>
        <w:tc>
          <w:tcPr>
            <w:tcW w:type="dxa" w:w="220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vAlign w:val="center"/>
          </w:tcPr>
          <w:p>
            <w:r>
              <w:rPr>
                <w:rFonts w:ascii="Arial" w:cs="Arial" w:eastAsia="Arial" w:hAnsi="Arial"/>
                <w:color w:val="333333"/>
                <w:sz w:val="17"/>
                <w:szCs w:val="17"/>
              </w:rPr>
              <w:t xml:space="preserve">Self-neglect</w:t>
            </w:r>
          </w:p>
        </w:tc>
        <w:tc>
          <w:tcPr>
            <w:tcW w:type="dxa" w:w="200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vAlign w:val="center"/>
          </w:tcPr>
          <w:p>
            <w:r>
              <w:rPr>
                <w:rFonts w:ascii="Arial" w:cs="Arial" w:eastAsia="Arial" w:hAnsi="Arial"/>
                <w:color w:val="333333"/>
                <w:sz w:val="17"/>
                <w:szCs w:val="17"/>
              </w:rPr>
              <w:t xml:space="preserve">Residents</w:t>
            </w:r>
          </w:p>
        </w:tc>
        <w:tc>
          <w:tcPr>
            <w:tcW w:type="dxa" w:w="320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vAlign w:val="center"/>
          </w:tcPr>
          <w:p>
            <w:r>
              <w:rPr>
                <w:rFonts w:ascii="Arial" w:cs="Arial" w:eastAsia="Arial" w:hAnsi="Arial"/>
                <w:color w:val="333333"/>
                <w:sz w:val="17"/>
                <w:szCs w:val="17"/>
              </w:rPr>
              <w:t xml:space="preserve">Mental capacity assessment for care decisions; best interests framework applied; person-centred approach respecting autonomy where capacity exists; GP liaison</w:t>
            </w:r>
          </w:p>
        </w:tc>
        <w:tc>
          <w:tcPr>
            <w:tcW w:type="dxa" w:w="320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vAlign w:val="center"/>
          </w:tcPr>
          <w:p>
            <w:r>
              <w:rPr>
                <w:rFonts w:ascii="Arial" w:cs="Arial" w:eastAsia="Arial" w:hAnsi="Arial"/>
                <w:color w:val="333333"/>
                <w:sz w:val="17"/>
                <w:szCs w:val="17"/>
              </w:rPr>
              <w:t xml:space="preserve">Multi-agency self-neglect pathway; risk threshold escalation matrix; advocacy referral; MDT case conference for complex cases; adult social care escalation</w:t>
            </w:r>
          </w:p>
        </w:tc>
        <w:tc>
          <w:tcPr>
            <w:tcW w:type="dxa" w:w="80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vAlign w:val="center"/>
          </w:tcPr>
          <w:p>
            <w:pPr>
              <w:jc w:val="center"/>
            </w:pPr>
            <w:r>
              <w:rPr>
                <w:rFonts w:ascii="Arial" w:cs="Arial" w:eastAsia="Arial" w:hAnsi="Arial"/>
                <w:b w:val="false"/>
                <w:bCs w:val="false"/>
                <w:color w:val="333333"/>
                <w:sz w:val="17"/>
                <w:szCs w:val="17"/>
              </w:rPr>
              <w:t xml:space="preserve">2</w:t>
            </w:r>
          </w:p>
        </w:tc>
        <w:tc>
          <w:tcPr>
            <w:tcW w:type="dxa" w:w="80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vAlign w:val="center"/>
          </w:tcPr>
          <w:p>
            <w:pPr>
              <w:jc w:val="center"/>
            </w:pPr>
            <w:r>
              <w:rPr>
                <w:rFonts w:ascii="Arial" w:cs="Arial" w:eastAsia="Arial" w:hAnsi="Arial"/>
                <w:b w:val="false"/>
                <w:bCs w:val="false"/>
                <w:color w:val="333333"/>
                <w:sz w:val="17"/>
                <w:szCs w:val="17"/>
              </w:rPr>
              <w:t xml:space="preserve">3</w:t>
            </w:r>
          </w:p>
        </w:tc>
        <w:tc>
          <w:tcPr>
            <w:tcW w:type="dxa" w:w="900"/>
            <w:tcBorders>
              <w:top w:val="single" w:color="CCCCCC" w:sz="1"/>
              <w:left w:val="single" w:color="CCCCCC" w:sz="1"/>
              <w:bottom w:val="single" w:color="CCCCCC" w:sz="1"/>
              <w:right w:val="single" w:color="CCCCCC" w:sz="1"/>
            </w:tcBorders>
            <w:shd w:fill="FEF5E7" w:val="clear"/>
            <w:tcMar>
              <w:top w:type="dxa" w:w="50"/>
              <w:left w:type="dxa" w:w="80"/>
              <w:bottom w:type="dxa" w:w="50"/>
              <w:right w:type="dxa" w:w="80"/>
            </w:tcMar>
            <w:vAlign w:val="center"/>
          </w:tcPr>
          <w:p>
            <w:pPr>
              <w:jc w:val="center"/>
            </w:pPr>
            <w:r>
              <w:rPr>
                <w:rFonts w:ascii="Arial" w:cs="Arial" w:eastAsia="Arial" w:hAnsi="Arial"/>
                <w:b/>
                <w:bCs/>
                <w:color w:val="F39C12"/>
                <w:sz w:val="17"/>
                <w:szCs w:val="17"/>
              </w:rPr>
              <w:t xml:space="preserve">6</w:t>
            </w:r>
          </w:p>
        </w:tc>
        <w:tc>
          <w:tcPr>
            <w:tcW w:type="dxa" w:w="1578"/>
            <w:tcBorders>
              <w:top w:val="single" w:color="CCCCCC" w:sz="1"/>
              <w:left w:val="single" w:color="CCCCCC" w:sz="1"/>
              <w:bottom w:val="single" w:color="CCCCCC" w:sz="1"/>
              <w:right w:val="single" w:color="CCCCCC" w:sz="1"/>
            </w:tcBorders>
            <w:shd w:fill="FEF5E7" w:val="clear"/>
            <w:tcMar>
              <w:top w:type="dxa" w:w="50"/>
              <w:left w:type="dxa" w:w="80"/>
              <w:bottom w:type="dxa" w:w="50"/>
              <w:right w:type="dxa" w:w="80"/>
            </w:tcMar>
            <w:vAlign w:val="center"/>
          </w:tcPr>
          <w:p>
            <w:pPr>
              <w:jc w:val="center"/>
            </w:pPr>
            <w:r>
              <w:rPr>
                <w:rFonts w:ascii="Arial" w:cs="Arial" w:eastAsia="Arial" w:hAnsi="Arial"/>
                <w:b/>
                <w:bCs/>
                <w:color w:val="F39C12"/>
                <w:sz w:val="17"/>
                <w:szCs w:val="17"/>
              </w:rPr>
              <w:t xml:space="preserve">MEDIUM</w:t>
            </w:r>
          </w:p>
        </w:tc>
      </w:tr>
      <w:tr>
        <w:tc>
          <w:tcPr>
            <w:tcW w:type="dxa" w:w="2200"/>
            <w:tcBorders>
              <w:top w:val="single" w:color="CCCCCC" w:sz="1"/>
              <w:left w:val="single" w:color="CCCCCC" w:sz="1"/>
              <w:bottom w:val="single" w:color="CCCCCC" w:sz="1"/>
              <w:right w:val="single" w:color="CCCCCC" w:sz="1"/>
            </w:tcBorders>
            <w:shd w:fill="FDF6E3" w:val="clear"/>
            <w:tcMar>
              <w:top w:type="dxa" w:w="50"/>
              <w:left w:type="dxa" w:w="80"/>
              <w:bottom w:type="dxa" w:w="50"/>
              <w:right w:type="dxa" w:w="80"/>
            </w:tcMar>
            <w:vAlign w:val="center"/>
          </w:tcPr>
          <w:p>
            <w:r>
              <w:rPr>
                <w:rFonts w:ascii="Arial" w:cs="Arial" w:eastAsia="Arial" w:hAnsi="Arial"/>
                <w:color w:val="333333"/>
                <w:sz w:val="17"/>
                <w:szCs w:val="17"/>
              </w:rPr>
              <w:t xml:space="preserve">Failure to report / delayed reporting of concerns</w:t>
            </w:r>
          </w:p>
        </w:tc>
        <w:tc>
          <w:tcPr>
            <w:tcW w:type="dxa" w:w="2000"/>
            <w:tcBorders>
              <w:top w:val="single" w:color="CCCCCC" w:sz="1"/>
              <w:left w:val="single" w:color="CCCCCC" w:sz="1"/>
              <w:bottom w:val="single" w:color="CCCCCC" w:sz="1"/>
              <w:right w:val="single" w:color="CCCCCC" w:sz="1"/>
            </w:tcBorders>
            <w:shd w:fill="FDF6E3" w:val="clear"/>
            <w:tcMar>
              <w:top w:type="dxa" w:w="50"/>
              <w:left w:type="dxa" w:w="80"/>
              <w:bottom w:type="dxa" w:w="50"/>
              <w:right w:type="dxa" w:w="80"/>
            </w:tcMar>
            <w:vAlign w:val="center"/>
          </w:tcPr>
          <w:p>
            <w:r>
              <w:rPr>
                <w:rFonts w:ascii="Arial" w:cs="Arial" w:eastAsia="Arial" w:hAnsi="Arial"/>
                <w:color w:val="333333"/>
                <w:sz w:val="17"/>
                <w:szCs w:val="17"/>
              </w:rPr>
              <w:t xml:space="preserve">Residents</w:t>
            </w:r>
          </w:p>
        </w:tc>
        <w:tc>
          <w:tcPr>
            <w:tcW w:type="dxa" w:w="3200"/>
            <w:tcBorders>
              <w:top w:val="single" w:color="CCCCCC" w:sz="1"/>
              <w:left w:val="single" w:color="CCCCCC" w:sz="1"/>
              <w:bottom w:val="single" w:color="CCCCCC" w:sz="1"/>
              <w:right w:val="single" w:color="CCCCCC" w:sz="1"/>
            </w:tcBorders>
            <w:shd w:fill="FDF6E3" w:val="clear"/>
            <w:tcMar>
              <w:top w:type="dxa" w:w="50"/>
              <w:left w:type="dxa" w:w="80"/>
              <w:bottom w:type="dxa" w:w="50"/>
              <w:right w:type="dxa" w:w="80"/>
            </w:tcMar>
            <w:vAlign w:val="center"/>
          </w:tcPr>
          <w:p>
            <w:r>
              <w:rPr>
                <w:rFonts w:ascii="Arial" w:cs="Arial" w:eastAsia="Arial" w:hAnsi="Arial"/>
                <w:color w:val="333333"/>
                <w:sz w:val="17"/>
                <w:szCs w:val="17"/>
              </w:rPr>
              <w:t xml:space="preserve">Clear safeguarding reporting pathway displayed; electronic incident reporting system; whistleblowing policy; all staff trained to recognise 10 categories of abuse</w:t>
            </w:r>
          </w:p>
        </w:tc>
        <w:tc>
          <w:tcPr>
            <w:tcW w:type="dxa" w:w="3200"/>
            <w:tcBorders>
              <w:top w:val="single" w:color="CCCCCC" w:sz="1"/>
              <w:left w:val="single" w:color="CCCCCC" w:sz="1"/>
              <w:bottom w:val="single" w:color="CCCCCC" w:sz="1"/>
              <w:right w:val="single" w:color="CCCCCC" w:sz="1"/>
            </w:tcBorders>
            <w:shd w:fill="FDF6E3" w:val="clear"/>
            <w:tcMar>
              <w:top w:type="dxa" w:w="50"/>
              <w:left w:type="dxa" w:w="80"/>
              <w:bottom w:type="dxa" w:w="50"/>
              <w:right w:type="dxa" w:w="80"/>
            </w:tcMar>
            <w:vAlign w:val="center"/>
          </w:tcPr>
          <w:p>
            <w:r>
              <w:rPr>
                <w:rFonts w:ascii="Arial" w:cs="Arial" w:eastAsia="Arial" w:hAnsi="Arial"/>
                <w:color w:val="333333"/>
                <w:sz w:val="17"/>
                <w:szCs w:val="17"/>
              </w:rPr>
              <w:t xml:space="preserve">Reporting compliance audit quarterly; safeguarding scenario drills annually; staff confidence survey; disciplinary consequences for non-reporting made explicit in contract</w:t>
            </w:r>
          </w:p>
        </w:tc>
        <w:tc>
          <w:tcPr>
            <w:tcW w:type="dxa" w:w="800"/>
            <w:tcBorders>
              <w:top w:val="single" w:color="CCCCCC" w:sz="1"/>
              <w:left w:val="single" w:color="CCCCCC" w:sz="1"/>
              <w:bottom w:val="single" w:color="CCCCCC" w:sz="1"/>
              <w:right w:val="single" w:color="CCCCCC" w:sz="1"/>
            </w:tcBorders>
            <w:shd w:fill="FDF6E3" w:val="clear"/>
            <w:tcMar>
              <w:top w:type="dxa" w:w="50"/>
              <w:left w:type="dxa" w:w="80"/>
              <w:bottom w:type="dxa" w:w="50"/>
              <w:right w:type="dxa" w:w="80"/>
            </w:tcMar>
            <w:vAlign w:val="center"/>
          </w:tcPr>
          <w:p>
            <w:pPr>
              <w:jc w:val="center"/>
            </w:pPr>
            <w:r>
              <w:rPr>
                <w:rFonts w:ascii="Arial" w:cs="Arial" w:eastAsia="Arial" w:hAnsi="Arial"/>
                <w:b w:val="false"/>
                <w:bCs w:val="false"/>
                <w:color w:val="333333"/>
                <w:sz w:val="17"/>
                <w:szCs w:val="17"/>
              </w:rPr>
              <w:t xml:space="preserve">2</w:t>
            </w:r>
          </w:p>
        </w:tc>
        <w:tc>
          <w:tcPr>
            <w:tcW w:type="dxa" w:w="800"/>
            <w:tcBorders>
              <w:top w:val="single" w:color="CCCCCC" w:sz="1"/>
              <w:left w:val="single" w:color="CCCCCC" w:sz="1"/>
              <w:bottom w:val="single" w:color="CCCCCC" w:sz="1"/>
              <w:right w:val="single" w:color="CCCCCC" w:sz="1"/>
            </w:tcBorders>
            <w:shd w:fill="FDF6E3" w:val="clear"/>
            <w:tcMar>
              <w:top w:type="dxa" w:w="50"/>
              <w:left w:type="dxa" w:w="80"/>
              <w:bottom w:type="dxa" w:w="50"/>
              <w:right w:type="dxa" w:w="80"/>
            </w:tcMar>
            <w:vAlign w:val="center"/>
          </w:tcPr>
          <w:p>
            <w:pPr>
              <w:jc w:val="center"/>
            </w:pPr>
            <w:r>
              <w:rPr>
                <w:rFonts w:ascii="Arial" w:cs="Arial" w:eastAsia="Arial" w:hAnsi="Arial"/>
                <w:b w:val="false"/>
                <w:bCs w:val="false"/>
                <w:color w:val="333333"/>
                <w:sz w:val="17"/>
                <w:szCs w:val="17"/>
              </w:rPr>
              <w:t xml:space="preserve">5</w:t>
            </w:r>
          </w:p>
        </w:tc>
        <w:tc>
          <w:tcPr>
            <w:tcW w:type="dxa" w:w="900"/>
            <w:tcBorders>
              <w:top w:val="single" w:color="CCCCCC" w:sz="1"/>
              <w:left w:val="single" w:color="CCCCCC" w:sz="1"/>
              <w:bottom w:val="single" w:color="CCCCCC" w:sz="1"/>
              <w:right w:val="single" w:color="CCCCCC" w:sz="1"/>
            </w:tcBorders>
            <w:shd w:fill="FEF5E7" w:val="clear"/>
            <w:tcMar>
              <w:top w:type="dxa" w:w="50"/>
              <w:left w:type="dxa" w:w="80"/>
              <w:bottom w:type="dxa" w:w="50"/>
              <w:right w:type="dxa" w:w="80"/>
            </w:tcMar>
            <w:vAlign w:val="center"/>
          </w:tcPr>
          <w:p>
            <w:pPr>
              <w:jc w:val="center"/>
            </w:pPr>
            <w:r>
              <w:rPr>
                <w:rFonts w:ascii="Arial" w:cs="Arial" w:eastAsia="Arial" w:hAnsi="Arial"/>
                <w:b/>
                <w:bCs/>
                <w:color w:val="F39C12"/>
                <w:sz w:val="17"/>
                <w:szCs w:val="17"/>
              </w:rPr>
              <w:t xml:space="preserve">10</w:t>
            </w:r>
          </w:p>
        </w:tc>
        <w:tc>
          <w:tcPr>
            <w:tcW w:type="dxa" w:w="1578"/>
            <w:tcBorders>
              <w:top w:val="single" w:color="CCCCCC" w:sz="1"/>
              <w:left w:val="single" w:color="CCCCCC" w:sz="1"/>
              <w:bottom w:val="single" w:color="CCCCCC" w:sz="1"/>
              <w:right w:val="single" w:color="CCCCCC" w:sz="1"/>
            </w:tcBorders>
            <w:shd w:fill="FEF5E7" w:val="clear"/>
            <w:tcMar>
              <w:top w:type="dxa" w:w="50"/>
              <w:left w:type="dxa" w:w="80"/>
              <w:bottom w:type="dxa" w:w="50"/>
              <w:right w:type="dxa" w:w="80"/>
            </w:tcMar>
            <w:vAlign w:val="center"/>
          </w:tcPr>
          <w:p>
            <w:pPr>
              <w:jc w:val="center"/>
            </w:pPr>
            <w:r>
              <w:rPr>
                <w:rFonts w:ascii="Arial" w:cs="Arial" w:eastAsia="Arial" w:hAnsi="Arial"/>
                <w:b/>
                <w:bCs/>
                <w:color w:val="F39C12"/>
                <w:sz w:val="17"/>
                <w:szCs w:val="17"/>
              </w:rPr>
              <w:t xml:space="preserve">MEDIUM</w:t>
            </w:r>
          </w:p>
        </w:tc>
      </w:tr>
    </w:tbl>
    <w:p>
      <w:pPr>
        <w:pBdr>
          <w:bottom w:val="single" w:color="D4AF37" w:sz="6" w:space="1"/>
        </w:pBdr>
        <w:spacing w:after="200" w:before="200"/>
      </w:pPr>
    </w:p>
    <w:p>
      <w:pPr>
        <w:spacing w:after="120" w:before="300"/>
      </w:pPr>
      <w:r>
        <w:rPr>
          <w:rFonts w:ascii="Arial" w:cs="Arial" w:eastAsia="Arial" w:hAnsi="Arial"/>
          <w:b/>
          <w:bCs/>
          <w:color w:val="0B1D3A"/>
          <w:sz w:val="24"/>
          <w:szCs w:val="24"/>
        </w:rPr>
        <w:t xml:space="preserve">6. Additional Notes</w:t>
      </w:r>
    </w:p>
    <w:p>
      <w:pPr>
        <w:spacing w:after="60" w:before="60"/>
      </w:pPr>
      <w:r>
        <w:rPr>
          <w:rFonts w:ascii="Arial" w:cs="Arial" w:eastAsia="Arial" w:hAnsi="Arial"/>
          <w:color w:val="333333"/>
          <w:sz w:val="20"/>
          <w:szCs w:val="20"/>
        </w:rPr>
        <w:t xml:space="preserve">Safeguarding is a fundamental standard under CQC Regulation 13. All concerns must be referred to the local authority within 24 hours and notified to CQC without delay. Staff must understand that failure to report is a disciplinary matter and may constitute a criminal offence under the Criminal Justice and Courts Act 2015 Section 20. The home must cooperate with Section 42 enquiries and Safeguarding Adults Board reviews.</w:t>
      </w:r>
    </w:p>
    <w:p>
      <w:pPr>
        <w:pBdr>
          <w:bottom w:val="single" w:color="D4AF37" w:sz="6" w:space="1"/>
        </w:pBdr>
        <w:spacing w:after="200" w:before="200"/>
      </w:pPr>
    </w:p>
    <w:p>
      <w:pPr>
        <w:spacing w:after="120" w:before="300"/>
      </w:pPr>
      <w:r>
        <w:rPr>
          <w:rFonts w:ascii="Arial" w:cs="Arial" w:eastAsia="Arial" w:hAnsi="Arial"/>
          <w:b/>
          <w:bCs/>
          <w:color w:val="0B1D3A"/>
          <w:sz w:val="24"/>
          <w:szCs w:val="24"/>
        </w:rPr>
        <w:t xml:space="preserve">7. Sign-Off &amp; Approval</w:t>
      </w:r>
    </w:p>
    <w:p>
      <w:pPr>
        <w:spacing w:after="60" w:before="60"/>
      </w:pPr>
      <w:r>
        <w:rPr>
          <w:rFonts w:ascii="Arial" w:cs="Arial" w:eastAsia="Arial" w:hAnsi="Arial"/>
          <w:color w:val="333333"/>
          <w:sz w:val="20"/>
          <w:szCs w:val="20"/>
        </w:rPr>
        <w:t xml:space="preserve">This risk assessment has been reviewed and approved by the undersigned. It shall be reviewed at least annually or following any significant incident, change in legislation, or operational modification.</w:t>
      </w:r>
    </w:p>
    <w:p>
      <w:pPr>
        <w:spacing w:after="100" w:before="100"/>
      </w:pPr>
    </w:p>
    <w:tbl>
      <w:tblPr>
        <w:tblW w:type="dxa" w:w="14678"/>
        <w:tblBorders>
          <w:top w:val="single" w:color="auto" w:sz="4"/>
          <w:left w:val="single" w:color="auto" w:sz="4"/>
          <w:bottom w:val="single" w:color="auto" w:sz="4"/>
          <w:right w:val="single" w:color="auto" w:sz="4"/>
          <w:insideH w:val="single" w:color="auto" w:sz="4"/>
          <w:insideV w:val="single" w:color="auto" w:sz="4"/>
        </w:tblBorders>
      </w:tblPr>
      <w:tblGrid>
        <w:gridCol w:w="3669"/>
        <w:gridCol w:w="3670"/>
        <w:gridCol w:w="3670"/>
        <w:gridCol w:w="3669"/>
      </w:tblGrid>
      <w:tr>
        <w:tc>
          <w:tcPr>
            <w:tcW w:type="dxa" w:w="3669"/>
            <w:tcBorders>
              <w:top w:val="single" w:color="CCCCCC" w:sz="1"/>
              <w:left w:val="single" w:color="CCCCCC" w:sz="1"/>
              <w:bottom w:val="single" w:color="CCCCCC" w:sz="1"/>
              <w:right w:val="single" w:color="CCCCCC" w:sz="1"/>
            </w:tcBorders>
            <w:shd w:fill="0B1D3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Role</w:t>
            </w:r>
          </w:p>
        </w:tc>
        <w:tc>
          <w:tcPr>
            <w:tcW w:type="dxa" w:w="3670"/>
            <w:tcBorders>
              <w:top w:val="single" w:color="CCCCCC" w:sz="1"/>
              <w:left w:val="single" w:color="CCCCCC" w:sz="1"/>
              <w:bottom w:val="single" w:color="CCCCCC" w:sz="1"/>
              <w:right w:val="single" w:color="CCCCCC" w:sz="1"/>
            </w:tcBorders>
            <w:shd w:fill="0B1D3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Name</w:t>
            </w:r>
          </w:p>
        </w:tc>
        <w:tc>
          <w:tcPr>
            <w:tcW w:type="dxa" w:w="3670"/>
            <w:tcBorders>
              <w:top w:val="single" w:color="CCCCCC" w:sz="1"/>
              <w:left w:val="single" w:color="CCCCCC" w:sz="1"/>
              <w:bottom w:val="single" w:color="CCCCCC" w:sz="1"/>
              <w:right w:val="single" w:color="CCCCCC" w:sz="1"/>
            </w:tcBorders>
            <w:shd w:fill="0B1D3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Signature</w:t>
            </w:r>
          </w:p>
        </w:tc>
        <w:tc>
          <w:tcPr>
            <w:tcW w:type="dxa" w:w="3669"/>
            <w:tcBorders>
              <w:top w:val="single" w:color="CCCCCC" w:sz="1"/>
              <w:left w:val="single" w:color="CCCCCC" w:sz="1"/>
              <w:bottom w:val="single" w:color="CCCCCC" w:sz="1"/>
              <w:right w:val="single" w:color="CCCCCC" w:sz="1"/>
            </w:tcBorders>
            <w:shd w:fill="0B1D3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Date</w:t>
            </w:r>
          </w:p>
        </w:tc>
      </w:tr>
      <w:tr>
        <w:tc>
          <w:tcPr>
            <w:tcW w:type="dxa" w:w="3669"/>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jc w:val="center"/>
            </w:pPr>
            <w:r>
              <w:rPr>
                <w:rFonts w:ascii="Arial" w:cs="Arial" w:eastAsia="Arial" w:hAnsi="Arial"/>
                <w:i/>
                <w:iCs/>
                <w:color w:val="666666"/>
                <w:sz w:val="18"/>
                <w:szCs w:val="18"/>
              </w:rPr>
              <w:t xml:space="preserve">Assessor</w:t>
            </w:r>
          </w:p>
        </w:tc>
        <w:tc>
          <w:tcPr>
            <w:tcW w:type="dxa" w:w="367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jc w:val="center"/>
            </w:pPr>
            <w:r>
              <w:rPr>
                <w:rFonts w:ascii="Arial" w:cs="Arial" w:eastAsia="Arial" w:hAnsi="Arial"/>
                <w:i/>
                <w:iCs/>
                <w:color w:val="666666"/>
                <w:sz w:val="18"/>
                <w:szCs w:val="18"/>
              </w:rPr>
              <w:t xml:space="preserve">[Insert Name]</w:t>
            </w:r>
          </w:p>
        </w:tc>
        <w:tc>
          <w:tcPr>
            <w:tcW w:type="dxa" w:w="367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jc w:val="center"/>
            </w:pPr>
            <w:r>
              <w:rPr>
                <w:rFonts w:ascii="Arial" w:cs="Arial" w:eastAsia="Arial" w:hAnsi="Arial"/>
                <w:i/>
                <w:iCs/>
                <w:color w:val="666666"/>
                <w:sz w:val="18"/>
                <w:szCs w:val="18"/>
              </w:rPr>
              <w:t xml:space="preserve"/>
            </w:r>
          </w:p>
        </w:tc>
        <w:tc>
          <w:tcPr>
            <w:tcW w:type="dxa" w:w="3669"/>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jc w:val="center"/>
            </w:pPr>
            <w:r>
              <w:rPr>
                <w:rFonts w:ascii="Arial" w:cs="Arial" w:eastAsia="Arial" w:hAnsi="Arial"/>
                <w:i/>
                <w:iCs/>
                <w:color w:val="666666"/>
                <w:sz w:val="18"/>
                <w:szCs w:val="18"/>
              </w:rPr>
              <w:t xml:space="preserve">[DD/MM/YYYY]</w:t>
            </w:r>
          </w:p>
        </w:tc>
      </w:tr>
      <w:tr>
        <w:tc>
          <w:tcPr>
            <w:tcW w:type="dxa" w:w="3669"/>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jc w:val="center"/>
            </w:pPr>
            <w:r>
              <w:rPr>
                <w:rFonts w:ascii="Arial" w:cs="Arial" w:eastAsia="Arial" w:hAnsi="Arial"/>
                <w:i/>
                <w:iCs/>
                <w:color w:val="666666"/>
                <w:sz w:val="18"/>
                <w:szCs w:val="18"/>
              </w:rPr>
              <w:t xml:space="preserve">Registered Manager</w:t>
            </w:r>
          </w:p>
        </w:tc>
        <w:tc>
          <w:tcPr>
            <w:tcW w:type="dxa" w:w="367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jc w:val="center"/>
            </w:pPr>
            <w:r>
              <w:rPr>
                <w:rFonts w:ascii="Arial" w:cs="Arial" w:eastAsia="Arial" w:hAnsi="Arial"/>
                <w:i/>
                <w:iCs/>
                <w:color w:val="666666"/>
                <w:sz w:val="18"/>
                <w:szCs w:val="18"/>
              </w:rPr>
              <w:t xml:space="preserve">[Insert Name]</w:t>
            </w:r>
          </w:p>
        </w:tc>
        <w:tc>
          <w:tcPr>
            <w:tcW w:type="dxa" w:w="367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jc w:val="center"/>
            </w:pPr>
            <w:r>
              <w:rPr>
                <w:rFonts w:ascii="Arial" w:cs="Arial" w:eastAsia="Arial" w:hAnsi="Arial"/>
                <w:i/>
                <w:iCs/>
                <w:color w:val="666666"/>
                <w:sz w:val="18"/>
                <w:szCs w:val="18"/>
              </w:rPr>
              <w:t xml:space="preserve"/>
            </w:r>
          </w:p>
        </w:tc>
        <w:tc>
          <w:tcPr>
            <w:tcW w:type="dxa" w:w="3669"/>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jc w:val="center"/>
            </w:pPr>
            <w:r>
              <w:rPr>
                <w:rFonts w:ascii="Arial" w:cs="Arial" w:eastAsia="Arial" w:hAnsi="Arial"/>
                <w:i/>
                <w:iCs/>
                <w:color w:val="666666"/>
                <w:sz w:val="18"/>
                <w:szCs w:val="18"/>
              </w:rPr>
              <w:t xml:space="preserve">[DD/MM/YYYY]</w:t>
            </w:r>
          </w:p>
        </w:tc>
      </w:tr>
      <w:tr>
        <w:tc>
          <w:tcPr>
            <w:tcW w:type="dxa" w:w="3669"/>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jc w:val="center"/>
            </w:pPr>
            <w:r>
              <w:rPr>
                <w:rFonts w:ascii="Arial" w:cs="Arial" w:eastAsia="Arial" w:hAnsi="Arial"/>
                <w:i/>
                <w:iCs/>
                <w:color w:val="666666"/>
                <w:sz w:val="18"/>
                <w:szCs w:val="18"/>
              </w:rPr>
              <w:t xml:space="preserve">H&amp;S Lead / Responsible Individual</w:t>
            </w:r>
          </w:p>
        </w:tc>
        <w:tc>
          <w:tcPr>
            <w:tcW w:type="dxa" w:w="367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jc w:val="center"/>
            </w:pPr>
            <w:r>
              <w:rPr>
                <w:rFonts w:ascii="Arial" w:cs="Arial" w:eastAsia="Arial" w:hAnsi="Arial"/>
                <w:i/>
                <w:iCs/>
                <w:color w:val="666666"/>
                <w:sz w:val="18"/>
                <w:szCs w:val="18"/>
              </w:rPr>
              <w:t xml:space="preserve">[Insert Name]</w:t>
            </w:r>
          </w:p>
        </w:tc>
        <w:tc>
          <w:tcPr>
            <w:tcW w:type="dxa" w:w="367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jc w:val="center"/>
            </w:pPr>
            <w:r>
              <w:rPr>
                <w:rFonts w:ascii="Arial" w:cs="Arial" w:eastAsia="Arial" w:hAnsi="Arial"/>
                <w:i/>
                <w:iCs/>
                <w:color w:val="666666"/>
                <w:sz w:val="18"/>
                <w:szCs w:val="18"/>
              </w:rPr>
              <w:t xml:space="preserve"/>
            </w:r>
          </w:p>
        </w:tc>
        <w:tc>
          <w:tcPr>
            <w:tcW w:type="dxa" w:w="3669"/>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jc w:val="center"/>
            </w:pPr>
            <w:r>
              <w:rPr>
                <w:rFonts w:ascii="Arial" w:cs="Arial" w:eastAsia="Arial" w:hAnsi="Arial"/>
                <w:i/>
                <w:iCs/>
                <w:color w:val="666666"/>
                <w:sz w:val="18"/>
                <w:szCs w:val="18"/>
              </w:rPr>
              <w:t xml:space="preserve">[DD/MM/YYYY]</w:t>
            </w:r>
          </w:p>
        </w:tc>
      </w:tr>
    </w:tbl>
    <w:p>
      <w:pPr>
        <w:spacing w:after="0" w:before="200"/>
      </w:pPr>
    </w:p>
    <w:p>
      <w:pPr>
        <w:spacing w:after="0" w:before="100"/>
        <w:jc w:val="center"/>
      </w:pPr>
      <w:r>
        <w:rPr>
          <w:rFonts w:ascii="Arial" w:cs="Arial" w:eastAsia="Arial" w:hAnsi="Arial"/>
          <w:i/>
          <w:iCs/>
          <w:color w:val="D4AF37"/>
          <w:sz w:val="16"/>
          <w:szCs w:val="16"/>
        </w:rPr>
        <w:t xml:space="preserve">Barker Scott – Care Home Compliance</w:t>
      </w:r>
    </w:p>
    <w:p>
      <w:pPr>
        <w:spacing w:after="0" w:before="40"/>
        <w:jc w:val="center"/>
      </w:pPr>
      <w:r>
        <w:rPr>
          <w:rFonts w:ascii="Arial" w:cs="Arial" w:eastAsia="Arial" w:hAnsi="Arial"/>
          <w:color w:val="0B1D3A"/>
          <w:sz w:val="16"/>
          <w:szCs w:val="16"/>
        </w:rPr>
        <w:t xml:space="preserve">barker-scott.co.uk</w:t>
      </w:r>
    </w:p>
    <w:sectPr>
      <w:headerReference w:type="default" r:id="rId7"/>
      <w:footerReference w:type="default" r:id="rId8"/>
      <w:pgSz w:w="16838" w:h="11906" w:orient="landscape"/>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4AF37" w:sz="4" w:space="1"/>
      </w:pBdr>
      <w:tabs>
        <w:tab w:val="right" w:pos="14678"/>
      </w:tabs>
      <w:spacing w:before="80"/>
    </w:pPr>
    <w:r>
      <w:rPr>
        <w:rFonts w:ascii="Arial" w:cs="Arial" w:eastAsia="Arial" w:hAnsi="Arial"/>
        <w:color w:val="0B1D3A"/>
        <w:sz w:val="16"/>
        <w:szCs w:val="16"/>
      </w:rPr>
      <w:t xml:space="preserve">BS-CH-RA-001</w:t>
    </w:r>
    <w:r>
      <w:rPr>
        <w:rFonts w:ascii="Arial" w:cs="Arial" w:eastAsia="Arial" w:hAnsi="Arial"/>
        <w:sz w:val="16"/>
        <w:szCs w:val="16"/>
      </w:rPr>
      <w:t xml:space="preserve">	</w:t>
    </w:r>
    <w:r>
      <w:rPr>
        <w:rFonts w:ascii="Arial" w:cs="Arial" w:eastAsia="Arial" w:hAnsi="Arial"/>
        <w:color w:val="999999"/>
        <w:sz w:val="16"/>
        <w:szCs w:val="16"/>
      </w:rPr>
      <w:t xml:space="preserve">Page </w:t>
    </w:r>
    <w:r>
      <w:rPr>
        <w:rFonts w:ascii="Arial" w:cs="Arial" w:eastAsia="Arial" w:hAnsi="Arial"/>
        <w:color w:val="999999"/>
        <w:sz w:val="16"/>
        <w:szCs w:val="16"/>
      </w:rPr>
      <w:fldChar w:fldCharType="begin"/>
      <w:instrText xml:space="preserve">PAGE</w:instrText>
      <w:fldChar w:fldCharType="separate"/>
      <w:fldChar w:fldCharType="end"/>
    </w:r>
    <w:r>
      <w:rPr>
        <w:rFonts w:ascii="Arial" w:cs="Arial" w:eastAsia="Arial" w:hAnsi="Arial"/>
        <w:color w:val="999999"/>
        <w:sz w:val="16"/>
        <w:szCs w:val="16"/>
      </w:rPr>
      <w:t xml:space="preserve"> of </w:t>
    </w:r>
    <w:r>
      <w:rPr>
        <w:rFonts w:ascii="Arial" w:cs="Arial" w:eastAsia="Arial" w:hAnsi="Arial"/>
        <w:color w:val="999999"/>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80"/>
      <w:jc w:val="left"/>
    </w:pPr>
    <w:r>
      <w:rPr>
        <w:rFonts w:ascii="Arial" w:cs="Arial" w:eastAsia="Arial" w:hAnsi="Arial"/>
        <w:b/>
        <w:bCs/>
        <w:color w:val="0B1D3A"/>
        <w:sz w:val="28"/>
        <w:szCs w:val="28"/>
      </w:rPr>
      <w:t xml:space="preserve">BARKER SCOTT</w:t>
    </w:r>
    <w:r>
      <w:rPr>
        <w:rFonts w:ascii="Arial" w:cs="Arial" w:eastAsia="Arial" w:hAnsi="Arial"/>
        <w:color w:val="D4AF37"/>
        <w:sz w:val="20"/>
        <w:szCs w:val="20"/>
      </w:rPr>
      <w:t xml:space="preserve">  |  </w:t>
    </w:r>
    <w:r>
      <w:rPr>
        <w:rFonts w:ascii="Arial" w:cs="Arial" w:eastAsia="Arial" w:hAnsi="Arial"/>
        <w:i/>
        <w:iCs/>
        <w:color w:val="D4AF37"/>
        <w:sz w:val="20"/>
        <w:szCs w:val="20"/>
      </w:rPr>
      <w:t xml:space="preserve">Care Home Risk Assessment</w:t>
    </w:r>
  </w:p>
  <w:p>
    <w:pPr>
      <w:pBdr>
        <w:bottom w:val="single" w:color="D4AF37" w:sz="6" w:space="1"/>
      </w:pBd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2026-05-15T11:07:38.948Z</dcterms:created>
  <dcterms:modified xsi:type="dcterms:W3CDTF">2026-05-15T11:07:38.948Z</dcterms:modified>
</cp:coreProperties>
</file>

<file path=docProps/custom.xml><?xml version="1.0" encoding="utf-8"?>
<Properties xmlns="http://schemas.openxmlformats.org/officeDocument/2006/custom-properties" xmlns:vt="http://schemas.openxmlformats.org/officeDocument/2006/docPropsVTypes"/>
</file>