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0B1D3A"/>
          <w:sz w:val="36"/>
          <w:szCs w:val="36"/>
        </w:rPr>
        <w:t xml:space="preserve">RISK ASSESSMENT</w:t>
      </w:r>
    </w:p>
    <w:p>
      <w:pPr>
        <w:spacing w:after="100"/>
        <w:jc w:val="center"/>
      </w:pPr>
      <w:r>
        <w:rPr>
          <w:rFonts w:ascii="Arial" w:cs="Arial" w:eastAsia="Arial" w:hAnsi="Arial"/>
          <w:b/>
          <w:bCs/>
          <w:color w:val="D4AF37"/>
          <w:sz w:val="28"/>
          <w:szCs w:val="28"/>
        </w:rPr>
        <w:t xml:space="preserve">Cross-Infection Control &amp; Decontamination</w:t>
      </w:r>
    </w:p>
    <w:p>
      <w:pPr>
        <w:pBdr>
          <w:bottom w:val="single" w:color="D4AF37" w:sz="6" w:space="1"/>
        </w:pBdr>
        <w:spacing w:after="200" w:before="200"/>
      </w:pPr>
    </w:p>
    <w:p>
      <w:pPr>
        <w:spacing w:after="60"/>
      </w:pPr>
      <w:r>
        <w:rPr>
          <w:rFonts w:ascii="Arial" w:cs="Arial" w:eastAsia="Arial" w:hAnsi="Arial"/>
          <w:b/>
          <w:bCs/>
          <w:color w:val="0B1D3A"/>
          <w:sz w:val="20"/>
          <w:szCs w:val="20"/>
        </w:rPr>
        <w:t xml:space="preserve">Reference: </w:t>
      </w:r>
      <w:r>
        <w:rPr>
          <w:rFonts w:ascii="Arial" w:cs="Arial" w:eastAsia="Arial" w:hAnsi="Arial"/>
          <w:color w:val="333333"/>
          <w:sz w:val="20"/>
          <w:szCs w:val="20"/>
        </w:rPr>
        <w:t xml:space="preserve">BS-RA-DENT-001</w:t>
      </w:r>
    </w:p>
    <w:p>
      <w:pPr>
        <w:spacing w:after="60"/>
      </w:pPr>
      <w:r>
        <w:rPr>
          <w:rFonts w:ascii="Arial" w:cs="Arial" w:eastAsia="Arial" w:hAnsi="Arial"/>
          <w:b/>
          <w:bCs/>
          <w:color w:val="0B1D3A"/>
          <w:sz w:val="20"/>
          <w:szCs w:val="20"/>
        </w:rPr>
        <w:t xml:space="preserve">Assessment Date: </w:t>
      </w:r>
      <w:r>
        <w:rPr>
          <w:rFonts w:ascii="Arial" w:cs="Arial" w:eastAsia="Arial" w:hAnsi="Arial"/>
          <w:color w:val="333333"/>
          <w:sz w:val="20"/>
          <w:szCs w:val="20"/>
        </w:rPr>
        <w:t xml:space="preserve">[Insert Date]</w:t>
      </w:r>
    </w:p>
    <w:p>
      <w:pPr>
        <w:spacing w:after="60"/>
      </w:pPr>
      <w:r>
        <w:rPr>
          <w:rFonts w:ascii="Arial" w:cs="Arial" w:eastAsia="Arial" w:hAnsi="Arial"/>
          <w:b/>
          <w:bCs/>
          <w:color w:val="0B1D3A"/>
          <w:sz w:val="20"/>
          <w:szCs w:val="20"/>
        </w:rPr>
        <w:t xml:space="preserve">Assessor: </w:t>
      </w:r>
      <w:r>
        <w:rPr>
          <w:rFonts w:ascii="Arial" w:cs="Arial" w:eastAsia="Arial" w:hAnsi="Arial"/>
          <w:color w:val="333333"/>
          <w:sz w:val="20"/>
          <w:szCs w:val="20"/>
        </w:rPr>
        <w:t xml:space="preserve">[Insert Name]</w:t>
      </w:r>
    </w:p>
    <w:p>
      <w:pPr>
        <w:spacing w:after="60"/>
      </w:pPr>
      <w:r>
        <w:rPr>
          <w:rFonts w:ascii="Arial" w:cs="Arial" w:eastAsia="Arial" w:hAnsi="Arial"/>
          <w:b/>
          <w:bCs/>
          <w:color w:val="0B1D3A"/>
          <w:sz w:val="20"/>
          <w:szCs w:val="20"/>
        </w:rPr>
        <w:t xml:space="preserve">Practice: </w:t>
      </w:r>
      <w:r>
        <w:rPr>
          <w:rFonts w:ascii="Arial" w:cs="Arial" w:eastAsia="Arial" w:hAnsi="Arial"/>
          <w:color w:val="333333"/>
          <w:sz w:val="20"/>
          <w:szCs w:val="20"/>
        </w:rPr>
        <w:t xml:space="preserve">[Insert Practice Name &amp; Address]</w:t>
      </w:r>
    </w:p>
    <w:p>
      <w:pPr>
        <w:spacing w:after="60"/>
      </w:pPr>
      <w:r>
        <w:rPr>
          <w:rFonts w:ascii="Arial" w:cs="Arial" w:eastAsia="Arial" w:hAnsi="Arial"/>
          <w:b/>
          <w:bCs/>
          <w:color w:val="0B1D3A"/>
          <w:sz w:val="20"/>
          <w:szCs w:val="20"/>
        </w:rPr>
        <w:t xml:space="preserve">Review Frequency: </w:t>
      </w:r>
      <w:r>
        <w:rPr>
          <w:rFonts w:ascii="Arial" w:cs="Arial" w:eastAsia="Arial" w:hAnsi="Arial"/>
          <w:color w:val="333333"/>
          <w:sz w:val="20"/>
          <w:szCs w:val="20"/>
        </w:rPr>
        <w:t xml:space="preserve">Annual (or following any incident/significant change)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SCOPE &amp; PURPOSE</w:t>
      </w:r>
    </w:p>
    <w:p>
      <w:pPr>
        <w:spacing w:after="80"/>
      </w:pPr>
      <w:r>
        <w:rPr>
          <w:rFonts w:ascii="Arial" w:cs="Arial" w:eastAsia="Arial" w:hAnsi="Arial"/>
          <w:color w:val="333333"/>
          <w:sz w:val="20"/>
          <w:szCs w:val="20"/>
        </w:rPr>
        <w:t xml:space="preserve">This risk assessment covers all infection prevention and control (IPC) procedures within the dental practice, including instrument decontamination, surgery cleaning, clinical waste management, water line maintenance, and hand hygiene protocols to prevent healthcare-associated infections.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RELEVANT LEGISLATION &amp; GUIDANCE</w:t>
      </w:r>
    </w:p>
    <w:p>
      <w:pPr>
        <w:pStyle w:val="ListParagraph"/>
        <w:numPr>
          <w:ilvl w:val="0"/>
          <w:numId w:val="2"/>
        </w:numPr>
        <w:spacing w:after="40"/>
      </w:pPr>
      <w:r>
        <w:rPr>
          <w:rFonts w:ascii="Arial" w:cs="Arial" w:eastAsia="Arial" w:hAnsi="Arial"/>
          <w:color w:val="333333"/>
          <w:sz w:val="20"/>
          <w:szCs w:val="20"/>
        </w:rPr>
        <w:t xml:space="preserve">Health and Safety at Work etc. Act 1974 (HSWA) – Sections 2 &amp; 3</w:t>
      </w:r>
    </w:p>
    <w:p>
      <w:pPr>
        <w:pStyle w:val="ListParagraph"/>
        <w:numPr>
          <w:ilvl w:val="0"/>
          <w:numId w:val="2"/>
        </w:numPr>
        <w:spacing w:after="40"/>
      </w:pPr>
      <w:r>
        <w:rPr>
          <w:rFonts w:ascii="Arial" w:cs="Arial" w:eastAsia="Arial" w:hAnsi="Arial"/>
          <w:color w:val="333333"/>
          <w:sz w:val="20"/>
          <w:szCs w:val="20"/>
        </w:rPr>
        <w:t xml:space="preserve">Management of Health and Safety at Work Regulations 1999 (SI 1999/3242) – Regulation 3</w:t>
      </w:r>
    </w:p>
    <w:p>
      <w:pPr>
        <w:pStyle w:val="ListParagraph"/>
        <w:numPr>
          <w:ilvl w:val="0"/>
          <w:numId w:val="2"/>
        </w:numPr>
        <w:spacing w:after="40"/>
      </w:pPr>
      <w:r>
        <w:rPr>
          <w:rFonts w:ascii="Arial" w:cs="Arial" w:eastAsia="Arial" w:hAnsi="Arial"/>
          <w:color w:val="333333"/>
          <w:sz w:val="20"/>
          <w:szCs w:val="20"/>
        </w:rPr>
        <w:t xml:space="preserve">Health and Social Care Act 2008 – Code of Practice on the Prevention and Control of Infections (Hygiene Code)</w:t>
      </w:r>
    </w:p>
    <w:p>
      <w:pPr>
        <w:pStyle w:val="ListParagraph"/>
        <w:numPr>
          <w:ilvl w:val="0"/>
          <w:numId w:val="2"/>
        </w:numPr>
        <w:spacing w:after="40"/>
      </w:pPr>
      <w:r>
        <w:rPr>
          <w:rFonts w:ascii="Arial" w:cs="Arial" w:eastAsia="Arial" w:hAnsi="Arial"/>
          <w:color w:val="333333"/>
          <w:sz w:val="20"/>
          <w:szCs w:val="20"/>
        </w:rPr>
        <w:t xml:space="preserve">Control of Substances Hazardous to Health Regulations 2002 (COSHH) (SI 2002/2677)</w:t>
      </w:r>
    </w:p>
    <w:p>
      <w:pPr>
        <w:pStyle w:val="ListParagraph"/>
        <w:numPr>
          <w:ilvl w:val="0"/>
          <w:numId w:val="2"/>
        </w:numPr>
        <w:spacing w:after="40"/>
      </w:pPr>
      <w:r>
        <w:rPr>
          <w:rFonts w:ascii="Arial" w:cs="Arial" w:eastAsia="Arial" w:hAnsi="Arial"/>
          <w:color w:val="333333"/>
          <w:sz w:val="20"/>
          <w:szCs w:val="20"/>
        </w:rPr>
        <w:t xml:space="preserve">Health Technical Memorandum (HTM) 01-05: Decontamination in Primary Care Dental Practices (2013)</w:t>
      </w:r>
    </w:p>
    <w:p>
      <w:pPr>
        <w:pStyle w:val="ListParagraph"/>
        <w:numPr>
          <w:ilvl w:val="0"/>
          <w:numId w:val="2"/>
        </w:numPr>
        <w:spacing w:after="40"/>
      </w:pPr>
      <w:r>
        <w:rPr>
          <w:rFonts w:ascii="Arial" w:cs="Arial" w:eastAsia="Arial" w:hAnsi="Arial"/>
          <w:color w:val="333333"/>
          <w:sz w:val="20"/>
          <w:szCs w:val="20"/>
        </w:rPr>
        <w:t xml:space="preserve">HTM 07-01: Safe Management of Healthcare Waste</w:t>
      </w:r>
    </w:p>
    <w:p>
      <w:pPr>
        <w:pStyle w:val="ListParagraph"/>
        <w:numPr>
          <w:ilvl w:val="0"/>
          <w:numId w:val="2"/>
        </w:numPr>
        <w:spacing w:after="40"/>
      </w:pPr>
      <w:r>
        <w:rPr>
          <w:rFonts w:ascii="Arial" w:cs="Arial" w:eastAsia="Arial" w:hAnsi="Arial"/>
          <w:color w:val="333333"/>
          <w:sz w:val="20"/>
          <w:szCs w:val="20"/>
        </w:rPr>
        <w:t xml:space="preserve">Personal Protective Equipment at Work Regulations 1992 (SI 1992/2966)</w:t>
      </w:r>
    </w:p>
    <w:p>
      <w:pPr>
        <w:pStyle w:val="ListParagraph"/>
        <w:numPr>
          <w:ilvl w:val="0"/>
          <w:numId w:val="2"/>
        </w:numPr>
        <w:spacing w:after="40"/>
      </w:pPr>
      <w:r>
        <w:rPr>
          <w:rFonts w:ascii="Arial" w:cs="Arial" w:eastAsia="Arial" w:hAnsi="Arial"/>
          <w:color w:val="333333"/>
          <w:sz w:val="20"/>
          <w:szCs w:val="20"/>
        </w:rPr>
        <w:t xml:space="preserve">Reporting of Injuries, Diseases and Dangerous Occurrences Regulations 2013 (RIDDOR) (SI 2013/1471)</w:t>
      </w:r>
    </w:p>
    <w:p>
      <w:pPr>
        <w:pStyle w:val="ListParagraph"/>
        <w:numPr>
          <w:ilvl w:val="0"/>
          <w:numId w:val="2"/>
        </w:numPr>
        <w:spacing w:after="40"/>
      </w:pPr>
      <w:r>
        <w:rPr>
          <w:rFonts w:ascii="Arial" w:cs="Arial" w:eastAsia="Arial" w:hAnsi="Arial"/>
          <w:color w:val="333333"/>
          <w:sz w:val="20"/>
          <w:szCs w:val="20"/>
        </w:rPr>
        <w:t xml:space="preserve">Environmental Protection Act 1990 – Duty of Care for clinical waste</w:t>
      </w:r>
    </w:p>
    <w:p>
      <w:pPr>
        <w:pStyle w:val="ListParagraph"/>
        <w:numPr>
          <w:ilvl w:val="0"/>
          <w:numId w:val="2"/>
        </w:numPr>
        <w:spacing w:after="40"/>
      </w:pPr>
      <w:r>
        <w:rPr>
          <w:rFonts w:ascii="Arial" w:cs="Arial" w:eastAsia="Arial" w:hAnsi="Arial"/>
          <w:color w:val="333333"/>
          <w:sz w:val="20"/>
          <w:szCs w:val="20"/>
        </w:rPr>
        <w:t xml:space="preserve">Care Quality Commission (CQC) Fundamental Standards – Regulation 12 (Safe Care and Treatment) &amp; Regulation 15 (Premises and Equipment)</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RISK RATING METHODOLOGY</w:t>
      </w:r>
    </w:p>
    <w:p>
      <w:pPr>
        <w:spacing w:after="80"/>
      </w:pPr>
      <w:r>
        <w:rPr>
          <w:rFonts w:ascii="Arial" w:cs="Arial" w:eastAsia="Arial" w:hAnsi="Arial"/>
          <w:color w:val="333333"/>
          <w:sz w:val="20"/>
          <w:szCs w:val="20"/>
        </w:rPr>
        <w:t xml:space="preserve">Risk Rating = Likelihood (L) × Severity (S). Likelihood: 1 (Rare) to 5 (Almost Certain). Severity: 1 (Negligible) to 5 (Catastrophic).</w:t>
      </w:r>
    </w:p>
    <w:p>
      <w:pPr>
        <w:spacing w:before="1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3000"/>
      </w:tblGrid>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27AE60"/>
                <w:sz w:val="18"/>
                <w:szCs w:val="18"/>
              </w:rPr>
              <w:t xml:space="preserve">1–3 (LOW)</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Acceptable risk, monitor</w:t>
            </w:r>
          </w:p>
        </w:tc>
        <w:tc>
          <w:tcPr>
            <w:tcW w:type="dxa" w:w="2000"/>
            <w:tcBorders>
              <w:top w:val="single" w:color="CCCCCC" w:sz="1"/>
              <w:left w:val="single" w:color="CCCCCC" w:sz="1"/>
              <w:bottom w:val="single" w:color="CCCCCC" w:sz="1"/>
              <w:right w:val="single" w:color="CCCCCC" w:sz="1"/>
            </w:tcBorders>
            <w:shd w:fill="FFF3E0" w:val="clear"/>
            <w:tcMar>
              <w:top w:type="dxa" w:w="40"/>
              <w:left w:type="dxa" w:w="80"/>
              <w:bottom w:type="dxa" w:w="40"/>
              <w:right w:type="dxa" w:w="80"/>
            </w:tcMar>
          </w:tcPr>
          <w:p>
            <w:r>
              <w:rPr>
                <w:rFonts w:ascii="Arial" w:cs="Arial" w:eastAsia="Arial" w:hAnsi="Arial"/>
                <w:b/>
                <w:bCs/>
                <w:color w:val="E67E22"/>
                <w:sz w:val="18"/>
                <w:szCs w:val="18"/>
              </w:rPr>
              <w:t xml:space="preserve">8–12 (MEDIUM)</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Reduce risk where practicable</w:t>
            </w:r>
          </w:p>
        </w:tc>
      </w:tr>
      <w:tr>
        <w:tc>
          <w:tcPr>
            <w:tcW w:type="dxa" w:w="2000"/>
            <w:tcBorders>
              <w:top w:val="single" w:color="CCCCCC" w:sz="1"/>
              <w:left w:val="single" w:color="CCCCCC" w:sz="1"/>
              <w:bottom w:val="single" w:color="CCCCCC" w:sz="1"/>
              <w:right w:val="single" w:color="CCCCCC" w:sz="1"/>
            </w:tcBorders>
            <w:shd w:fill="FFFDE7" w:val="clear"/>
            <w:tcMar>
              <w:top w:type="dxa" w:w="40"/>
              <w:left w:type="dxa" w:w="80"/>
              <w:bottom w:type="dxa" w:w="40"/>
              <w:right w:type="dxa" w:w="80"/>
            </w:tcMar>
          </w:tcPr>
          <w:p>
            <w:r>
              <w:rPr>
                <w:rFonts w:ascii="Arial" w:cs="Arial" w:eastAsia="Arial" w:hAnsi="Arial"/>
                <w:b/>
                <w:bCs/>
                <w:color w:val="F1C40F"/>
                <w:sz w:val="18"/>
                <w:szCs w:val="18"/>
              </w:rPr>
              <w:t xml:space="preserve">4–6 (LOW-MED)</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Monitor, review controls</w:t>
            </w:r>
          </w:p>
        </w:tc>
        <w:tc>
          <w:tcPr>
            <w:tcW w:type="dxa" w:w="2000"/>
            <w:tcBorders>
              <w:top w:val="single" w:color="CCCCCC" w:sz="1"/>
              <w:left w:val="single" w:color="CCCCCC" w:sz="1"/>
              <w:bottom w:val="single" w:color="CCCCCC" w:sz="1"/>
              <w:right w:val="single" w:color="CCCCCC" w:sz="1"/>
            </w:tcBorders>
            <w:shd w:fill="FDEDED" w:val="clear"/>
            <w:tcMar>
              <w:top w:type="dxa" w:w="40"/>
              <w:left w:type="dxa" w:w="80"/>
              <w:bottom w:type="dxa" w:w="40"/>
              <w:right w:type="dxa" w:w="80"/>
            </w:tcMar>
          </w:tcPr>
          <w:p>
            <w:r>
              <w:rPr>
                <w:rFonts w:ascii="Arial" w:cs="Arial" w:eastAsia="Arial" w:hAnsi="Arial"/>
                <w:b/>
                <w:bCs/>
                <w:color w:val="C0392B"/>
                <w:sz w:val="18"/>
                <w:szCs w:val="18"/>
              </w:rPr>
              <w:t xml:space="preserve">15–25 (HIGH)</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Immediate action required</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RISK ASSESSMENT TABLE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700"/>
        <w:gridCol w:w="700"/>
        <w:gridCol w:w="1000"/>
        <w:gridCol w:w="3878"/>
        <w:gridCol w:w="700"/>
        <w:gridCol w:w="700"/>
        <w:gridCol w:w="1800"/>
      </w:tblGrid>
      <w:tr>
        <w:tc>
          <w:tcPr>
            <w:tcW w:type="dxa" w:w="22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Hazard</w:t>
            </w:r>
          </w:p>
        </w:tc>
        <w:tc>
          <w:tcPr>
            <w:tcW w:type="dxa" w:w="18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Risk</w:t>
            </w:r>
          </w:p>
        </w:tc>
        <w:tc>
          <w:tcPr>
            <w:tcW w:type="dxa" w:w="12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Who at Risk</w:t>
            </w:r>
          </w:p>
        </w:tc>
        <w:tc>
          <w:tcPr>
            <w:tcW w:type="dxa" w:w="7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L</w:t>
            </w:r>
          </w:p>
        </w:tc>
        <w:tc>
          <w:tcPr>
            <w:tcW w:type="dxa" w:w="7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w:t>
            </w:r>
          </w:p>
        </w:tc>
        <w:tc>
          <w:tcPr>
            <w:tcW w:type="dxa" w:w="10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Rating</w:t>
            </w:r>
          </w:p>
        </w:tc>
        <w:tc>
          <w:tcPr>
            <w:tcW w:type="dxa" w:w="3878"/>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Control Measures</w:t>
            </w:r>
          </w:p>
        </w:tc>
        <w:tc>
          <w:tcPr>
            <w:tcW w:type="dxa" w:w="7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L</w:t>
            </w:r>
          </w:p>
        </w:tc>
        <w:tc>
          <w:tcPr>
            <w:tcW w:type="dxa" w:w="7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w:t>
            </w:r>
          </w:p>
        </w:tc>
        <w:tc>
          <w:tcPr>
            <w:tcW w:type="dxa" w:w="18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Residual</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Instrument contamination (inadequate decontamination)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Patient-to-patient cross-infection (HBV, HCV, HIV, prions)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Patient</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5</w:t>
            </w:r>
          </w:p>
        </w:tc>
        <w:tc>
          <w:tcPr>
            <w:tcW w:type="dxa" w:w="1000"/>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0"/>
            </w:pPr>
            <w:r>
              <w:rPr>
                <w:rFonts w:ascii="Arial" w:cs="Arial" w:eastAsia="Arial" w:hAnsi="Arial"/>
                <w:b/>
                <w:bCs/>
                <w:color w:val="E67E22"/>
                <w:sz w:val="18"/>
                <w:szCs w:val="18"/>
              </w:rPr>
              <w:t xml:space="preserve">10 (MEDIUM)</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HTM 01-05 compliant decontamination workflow: clean → inspect → package → autoclave; validated washer-disinfector and Type B/N/S autoclave with daily/weekly cycle testing; instrument tracking system; dedicated decontamination room with dirty-to-clean flow</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5</w:t>
            </w:r>
          </w:p>
        </w:tc>
        <w:tc>
          <w:tcPr>
            <w:tcW w:type="dxa" w:w="1800"/>
            <w:tcBorders>
              <w:top w:val="single" w:color="CCCCCC" w:sz="1"/>
              <w:left w:val="single" w:color="CCCCCC" w:sz="1"/>
              <w:bottom w:val="single" w:color="CCCCCC" w:sz="1"/>
              <w:right w:val="single" w:color="CCCCCC" w:sz="1"/>
            </w:tcBorders>
            <w:shd w:fill="FFFDE7" w:val="clear"/>
            <w:tcMar>
              <w:top w:type="dxa" w:w="50"/>
              <w:left w:type="dxa" w:w="80"/>
              <w:bottom w:type="dxa" w:w="50"/>
              <w:right w:type="dxa" w:w="80"/>
            </w:tcMar>
            <w:vAlign w:val="center"/>
          </w:tcPr>
          <w:p>
            <w:pPr>
              <w:spacing w:after="0"/>
            </w:pPr>
            <w:r>
              <w:rPr>
                <w:rFonts w:ascii="Arial" w:cs="Arial" w:eastAsia="Arial" w:hAnsi="Arial"/>
                <w:b/>
                <w:bCs/>
                <w:color w:val="F1C40F"/>
                <w:sz w:val="18"/>
                <w:szCs w:val="18"/>
              </w:rPr>
              <w:t xml:space="preserve">5 (LOW-MED)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Sharps injury (needles, burs, files)</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Blood-borne virus transmission to staff</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Staff</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4</w:t>
            </w:r>
          </w:p>
        </w:tc>
        <w:tc>
          <w:tcPr>
            <w:tcW w:type="dxa" w:w="1000"/>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0"/>
            </w:pPr>
            <w:r>
              <w:rPr>
                <w:rFonts w:ascii="Arial" w:cs="Arial" w:eastAsia="Arial" w:hAnsi="Arial"/>
                <w:b/>
                <w:bCs/>
                <w:color w:val="E67E22"/>
                <w:sz w:val="18"/>
                <w:szCs w:val="18"/>
              </w:rPr>
              <w:t xml:space="preserve">12 (MEDIUM)</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Safety-engineered needles; no re-sheathing per HTM 07-01; sharps bins at point of use (BS 7320 compliant); Hepatitis B vaccination programme; needlestick injury protocol with PEP access; RIDDOR reporting</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4</w:t>
            </w:r>
          </w:p>
        </w:tc>
        <w:tc>
          <w:tcPr>
            <w:tcW w:type="dxa" w:w="1800"/>
            <w:tcBorders>
              <w:top w:val="single" w:color="CCCCCC" w:sz="1"/>
              <w:left w:val="single" w:color="CCCCCC" w:sz="1"/>
              <w:bottom w:val="single" w:color="CCCCCC" w:sz="1"/>
              <w:right w:val="single" w:color="CCCCCC" w:sz="1"/>
            </w:tcBorders>
            <w:shd w:fill="FFFDE7" w:val="clear"/>
            <w:tcMar>
              <w:top w:type="dxa" w:w="50"/>
              <w:left w:type="dxa" w:w="80"/>
              <w:bottom w:type="dxa" w:w="50"/>
              <w:right w:type="dxa" w:w="80"/>
            </w:tcMar>
            <w:vAlign w:val="center"/>
          </w:tcPr>
          <w:p>
            <w:pPr>
              <w:spacing w:after="0"/>
            </w:pPr>
            <w:r>
              <w:rPr>
                <w:rFonts w:ascii="Arial" w:cs="Arial" w:eastAsia="Arial" w:hAnsi="Arial"/>
                <w:b/>
                <w:bCs/>
                <w:color w:val="F1C40F"/>
                <w:sz w:val="18"/>
                <w:szCs w:val="18"/>
              </w:rPr>
              <w:t xml:space="preserve">4 (LOW-MED)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Dental unit waterline (DUWL) contamination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Legionella/Pseudomonas infection, biofilm exposure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Patient/Staff</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4</w:t>
            </w:r>
          </w:p>
        </w:tc>
        <w:tc>
          <w:tcPr>
            <w:tcW w:type="dxa" w:w="1000"/>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0"/>
            </w:pPr>
            <w:r>
              <w:rPr>
                <w:rFonts w:ascii="Arial" w:cs="Arial" w:eastAsia="Arial" w:hAnsi="Arial"/>
                <w:b/>
                <w:bCs/>
                <w:color w:val="E67E22"/>
                <w:sz w:val="18"/>
                <w:szCs w:val="18"/>
              </w:rPr>
              <w:t xml:space="preserve">12 (MEDIUM)</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DUWL treatment system installed; weekly flushing protocol (2 mins each line); quarterly water sampling per HTM 01-05; independent water reservoirs with sterile/distilled water for surgical procedures; Legionella risk assessment per HSE ACoP L8</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1800"/>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0"/>
            </w:pPr>
            <w:r>
              <w:rPr>
                <w:rFonts w:ascii="Arial" w:cs="Arial" w:eastAsia="Arial" w:hAnsi="Arial"/>
                <w:b/>
                <w:bCs/>
                <w:color w:val="27AE60"/>
                <w:sz w:val="18"/>
                <w:szCs w:val="18"/>
              </w:rPr>
              <w:t xml:space="preserve">3 (LOW)</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Clinical waste mismanagement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Environmental contamination, infection spread, regulatory prosecution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Staff/Public</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4</w:t>
            </w:r>
          </w:p>
        </w:tc>
        <w:tc>
          <w:tcPr>
            <w:tcW w:type="dxa" w:w="1000"/>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0"/>
            </w:pPr>
            <w:r>
              <w:rPr>
                <w:rFonts w:ascii="Arial" w:cs="Arial" w:eastAsia="Arial" w:hAnsi="Arial"/>
                <w:b/>
                <w:bCs/>
                <w:color w:val="E67E22"/>
                <w:sz w:val="18"/>
                <w:szCs w:val="18"/>
              </w:rPr>
              <w:t xml:space="preserve">8 (MEDIUM)</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Waste segregation: yellow (infectious), orange (anatomical), purple (cytotoxic), black (domestic); licensed waste contractor with consignment notes; duty of care waste transfer documentation; annual staff training</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1800"/>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0"/>
            </w:pPr>
            <w:r>
              <w:rPr>
                <w:rFonts w:ascii="Arial" w:cs="Arial" w:eastAsia="Arial" w:hAnsi="Arial"/>
                <w:b/>
                <w:bCs/>
                <w:color w:val="27AE60"/>
                <w:sz w:val="18"/>
                <w:szCs w:val="18"/>
              </w:rPr>
              <w:t xml:space="preserve">3 (LOW)</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Inadequate hand hygiene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Cross-contamination between patients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Patient/Staff</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1000"/>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0"/>
            </w:pPr>
            <w:r>
              <w:rPr>
                <w:rFonts w:ascii="Arial" w:cs="Arial" w:eastAsia="Arial" w:hAnsi="Arial"/>
                <w:b/>
                <w:bCs/>
                <w:color w:val="E67E22"/>
                <w:sz w:val="18"/>
                <w:szCs w:val="18"/>
              </w:rPr>
              <w:t xml:space="preserve">9 (MEDIUM)</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WHO 5 Moments of Hand Hygiene adopted; alcohol hand rub at point of care; clinical handwash basins (elbow-operated, no plug) in every surgery; quarterly hand hygiene audits; bare below the elbows policy</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2</w:t>
            </w:r>
          </w:p>
        </w:tc>
        <w:tc>
          <w:tcPr>
            <w:tcW w:type="dxa" w:w="1800"/>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0"/>
            </w:pPr>
            <w:r>
              <w:rPr>
                <w:rFonts w:ascii="Arial" w:cs="Arial" w:eastAsia="Arial" w:hAnsi="Arial"/>
                <w:b/>
                <w:bCs/>
                <w:color w:val="27AE60"/>
                <w:sz w:val="18"/>
                <w:szCs w:val="18"/>
              </w:rPr>
              <w:t xml:space="preserve">2 (LOW)</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Surface contamination in surgery</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Indirect transmission of pathogens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Patient/Staff</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1000"/>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0"/>
            </w:pPr>
            <w:r>
              <w:rPr>
                <w:rFonts w:ascii="Arial" w:cs="Arial" w:eastAsia="Arial" w:hAnsi="Arial"/>
                <w:b/>
                <w:bCs/>
                <w:color w:val="E67E22"/>
                <w:sz w:val="18"/>
                <w:szCs w:val="18"/>
              </w:rPr>
              <w:t xml:space="preserve">9 (MEDIUM)</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Zoning system (clean/dirty areas defined); barrier techniques on high-touch surfaces; disinfection between patients with EN 14476-compliant product; end-of-day deep clean; documented cleaning schedule with sign-off</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2</w:t>
            </w:r>
          </w:p>
        </w:tc>
        <w:tc>
          <w:tcPr>
            <w:tcW w:type="dxa" w:w="1800"/>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0"/>
            </w:pPr>
            <w:r>
              <w:rPr>
                <w:rFonts w:ascii="Arial" w:cs="Arial" w:eastAsia="Arial" w:hAnsi="Arial"/>
                <w:b/>
                <w:bCs/>
                <w:color w:val="27AE60"/>
                <w:sz w:val="18"/>
                <w:szCs w:val="18"/>
              </w:rPr>
              <w:t xml:space="preserve">2 (LOW)</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ADDITIONAL CONTROL MEASURES &amp; EMERGENCY PROCEDURES</w:t>
      </w:r>
    </w:p>
    <w:p>
      <w:pPr>
        <w:pStyle w:val="ListParagraph"/>
        <w:numPr>
          <w:ilvl w:val="0"/>
          <w:numId w:val="2"/>
        </w:numPr>
        <w:spacing w:after="40"/>
      </w:pPr>
      <w:r>
        <w:rPr>
          <w:rFonts w:ascii="Arial" w:cs="Arial" w:eastAsia="Arial" w:hAnsi="Arial"/>
          <w:color w:val="333333"/>
          <w:sz w:val="20"/>
          <w:szCs w:val="20"/>
        </w:rPr>
        <w:t xml:space="preserve">Autoclave validation: daily Bowie-Dick/Helix test, weekly protein residue test on instruments, annual service and calibration by manufacturer-approved engineer.</w:t>
      </w:r>
    </w:p>
    <w:p>
      <w:pPr>
        <w:pStyle w:val="ListParagraph"/>
        <w:numPr>
          <w:ilvl w:val="0"/>
          <w:numId w:val="2"/>
        </w:numPr>
        <w:spacing w:after="40"/>
      </w:pPr>
      <w:r>
        <w:rPr>
          <w:rFonts w:ascii="Arial" w:cs="Arial" w:eastAsia="Arial" w:hAnsi="Arial"/>
          <w:color w:val="333333"/>
          <w:sz w:val="20"/>
          <w:szCs w:val="20"/>
        </w:rPr>
        <w:t xml:space="preserve">Decontamination room layout audited annually against HTM 01-05 for compliant dirty-to-clean workflow.</w:t>
      </w:r>
    </w:p>
    <w:p>
      <w:pPr>
        <w:pStyle w:val="ListParagraph"/>
        <w:numPr>
          <w:ilvl w:val="0"/>
          <w:numId w:val="2"/>
        </w:numPr>
        <w:spacing w:after="40"/>
      </w:pPr>
      <w:r>
        <w:rPr>
          <w:rFonts w:ascii="Arial" w:cs="Arial" w:eastAsia="Arial" w:hAnsi="Arial"/>
          <w:color w:val="333333"/>
          <w:sz w:val="20"/>
          <w:szCs w:val="20"/>
        </w:rPr>
        <w:t xml:space="preserve">All staff complete IPC induction and annual update training aligned to Skills for Health IPC learning outcomes.</w:t>
      </w:r>
    </w:p>
    <w:p>
      <w:pPr>
        <w:pStyle w:val="ListParagraph"/>
        <w:numPr>
          <w:ilvl w:val="0"/>
          <w:numId w:val="2"/>
        </w:numPr>
        <w:spacing w:after="40"/>
      </w:pPr>
      <w:r>
        <w:rPr>
          <w:rFonts w:ascii="Arial" w:cs="Arial" w:eastAsia="Arial" w:hAnsi="Arial"/>
          <w:color w:val="333333"/>
          <w:sz w:val="20"/>
          <w:szCs w:val="20"/>
        </w:rPr>
        <w:t xml:space="preserve">CQC IPC audit conducted annually using the Dental Compliance IPC audit tool; action plan documented and reviewed.</w:t>
      </w:r>
    </w:p>
    <w:p>
      <w:pPr>
        <w:pStyle w:val="ListParagraph"/>
        <w:numPr>
          <w:ilvl w:val="0"/>
          <w:numId w:val="2"/>
        </w:numPr>
        <w:spacing w:after="40"/>
      </w:pPr>
      <w:r>
        <w:rPr>
          <w:rFonts w:ascii="Arial" w:cs="Arial" w:eastAsia="Arial" w:hAnsi="Arial"/>
          <w:color w:val="333333"/>
          <w:sz w:val="20"/>
          <w:szCs w:val="20"/>
        </w:rPr>
        <w:t xml:space="preserve">Legionella risk assessment reviewed annually per HSE Approved Code of Practice L8; water temperature and flushing logs maintained.</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MONITORING &amp; REVIEW</w:t>
      </w:r>
    </w:p>
    <w:p>
      <w:pPr>
        <w:spacing w:after="80"/>
      </w:pPr>
      <w:r>
        <w:rPr>
          <w:rFonts w:ascii="Arial" w:cs="Arial" w:eastAsia="Arial" w:hAnsi="Arial"/>
          <w:color w:val="333333"/>
          <w:sz w:val="20"/>
          <w:szCs w:val="20"/>
        </w:rPr>
        <w:t xml:space="preserve">This risk assessment shall be reviewed annually, or sooner if there is a significant change in working practices, an incident occurs, or new legislation/guidance is published. All staff must be made aware of the contents of this document and sign to confirm understanding.</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SIGN-OFF</w:t>
      </w:r>
    </w:p>
    <w:p>
      <w:pPr>
        <w:spacing w:after="80"/>
      </w:pPr>
      <w:r>
        <w:rPr>
          <w:rFonts w:ascii="Arial" w:cs="Arial" w:eastAsia="Arial" w:hAnsi="Arial"/>
          <w:color w:val="333333"/>
          <w:sz w:val="20"/>
          <w:szCs w:val="20"/>
        </w:rPr>
        <w:t xml:space="preserve">I confirm that this risk assessment has been carried out in accordance with relevant legislation and that the control measures identified are suitable and sufficient.</w:t>
      </w:r>
    </w:p>
    <w:p>
      <w:pPr>
        <w:spacing w:before="2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69"/>
        <w:gridCol w:w="3670"/>
        <w:gridCol w:w="3670"/>
      </w:tblGrid>
      <w:tr>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Assessed By:</w:t>
            </w:r>
          </w:p>
          <w:p>
            <w:pPr>
              <w:spacing w:after="0"/>
            </w:pPr>
            <w:r>
              <w:rPr>
                <w:rFonts w:ascii="Arial" w:cs="Arial" w:eastAsia="Arial" w:hAnsi="Arial"/>
                <w:i/>
                <w:iCs/>
                <w:color w:val="999999"/>
                <w:sz w:val="18"/>
                <w:szCs w:val="18"/>
              </w:rPr>
              <w:t xml:space="preserve">[Insert Name]</w:t>
            </w:r>
          </w:p>
        </w:tc>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Position:</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Date:</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Review Date:</w:t>
            </w:r>
          </w:p>
          <w:p>
            <w:pPr>
              <w:spacing w:after="0"/>
            </w:pPr>
            <w:r>
              <w:rPr>
                <w:rFonts w:ascii="Arial" w:cs="Arial" w:eastAsia="Arial" w:hAnsi="Arial"/>
                <w:i/>
                <w:iCs/>
                <w:color w:val="999999"/>
                <w:sz w:val="18"/>
                <w:szCs w:val="18"/>
              </w:rPr>
              <w:t xml:space="preserve">[Insert Name]</w:t>
            </w:r>
          </w:p>
        </w:tc>
      </w:tr>
    </w:tbl>
    <w:p>
      <w:pPr>
        <w:spacing w:before="300"/>
      </w:pPr>
    </w:p>
    <w:p>
      <w:pPr>
        <w:jc w:val="center"/>
      </w:pPr>
      <w:r>
        <w:rPr>
          <w:rFonts w:ascii="Arial" w:cs="Arial" w:eastAsia="Arial" w:hAnsi="Arial"/>
          <w:i/>
          <w:iCs/>
          <w:color w:val="999999"/>
          <w:sz w:val="16"/>
          <w:szCs w:val="16"/>
        </w:rPr>
        <w:t xml:space="preserve">© Barker Scott. All rights reserved. This document is confidential and intended for the sole use of the named dental practice.</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9026"/>
      </w:tabs>
      <w:spacing w:before="80"/>
    </w:pPr>
    <w:r>
      <w:rPr>
        <w:rFonts w:ascii="Arial" w:cs="Arial" w:eastAsia="Arial" w:hAnsi="Arial"/>
        <w:color w:val="0B1D3A"/>
        <w:sz w:val="16"/>
        <w:szCs w:val="16"/>
      </w:rPr>
      <w:t xml:space="preserve">Cross-Infection Control &amp; Decontamination  |  barker-scott.co.uk  |  Confidential</w:t>
    </w:r>
    <w:r>
      <w:t xml:space="preserve">	</w:t>
    </w:r>
    <w:r>
      <w:rPr>
        <w:rFonts w:ascii="Arial" w:cs="Arial" w:eastAsia="Arial" w:hAnsi="Arial"/>
        <w:color w:val="0B1D3A"/>
        <w:sz w:val="16"/>
        <w:szCs w:val="16"/>
      </w:rPr>
      <w:t xml:space="preserve">Page </w:t>
    </w:r>
    <w:r>
      <w:rPr>
        <w:rFonts w:ascii="Arial" w:cs="Arial" w:eastAsia="Arial" w:hAnsi="Arial"/>
        <w:color w:val="0B1D3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left"/>
    </w:pPr>
    <w:r>
      <w:rPr>
        <w:rFonts w:ascii="Arial" w:cs="Arial" w:eastAsia="Arial" w:hAnsi="Arial"/>
        <w:b/>
        <w:bCs/>
        <w:color w:val="0B1D3A"/>
        <w:sz w:val="28"/>
        <w:szCs w:val="28"/>
      </w:rPr>
      <w:t xml:space="preserve">BARKER SCOTT</w:t>
    </w:r>
    <w:r>
      <w:rPr>
        <w:rFonts w:ascii="Arial" w:cs="Arial" w:eastAsia="Arial" w:hAnsi="Arial"/>
        <w:color w:val="D4AF37"/>
        <w:sz w:val="28"/>
        <w:szCs w:val="28"/>
      </w:rPr>
      <w:t xml:space="preserve">  |  </w:t>
    </w:r>
    <w:r>
      <w:rPr>
        <w:rFonts w:ascii="Arial" w:cs="Arial" w:eastAsia="Arial" w:hAnsi="Arial"/>
        <w:color w:val="0B1D3A"/>
        <w:sz w:val="22"/>
        <w:szCs w:val="22"/>
      </w:rPr>
      <w:t xml:space="preserve">Dental Practice Compliance</w:t>
    </w:r>
  </w:p>
  <w:p>
    <w:pPr>
      <w:pBdr>
        <w:bottom w:val="single" w:color="D4AF37" w:sz="6" w:space="1"/>
      </w:pBdr>
      <w:spacing w:after="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0B1D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2026-05-15T11:40:23.960Z</dcterms:created>
  <dcterms:modified xsi:type="dcterms:W3CDTF">2026-05-15T11:40:23.974Z</dcterms:modified>
</cp:coreProperties>
</file>

<file path=docProps/custom.xml><?xml version="1.0" encoding="utf-8"?>
<Properties xmlns="http://schemas.openxmlformats.org/officeDocument/2006/custom-properties" xmlns:vt="http://schemas.openxmlformats.org/officeDocument/2006/docPropsVTypes"/>
</file>