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RISK ASSESSMENT</w:t>
      </w:r>
    </w:p>
    <w:p>
      <w:pPr>
        <w:spacing w:after="100"/>
        <w:jc w:val="center"/>
      </w:pPr>
      <w:r>
        <w:rPr>
          <w:rFonts w:ascii="Arial" w:cs="Arial" w:eastAsia="Arial" w:hAnsi="Arial"/>
          <w:b/>
          <w:bCs/>
          <w:color w:val="D4AF37"/>
          <w:sz w:val="28"/>
          <w:szCs w:val="28"/>
        </w:rPr>
        <w:t xml:space="preserve">Local Anaesthesia Administration</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BS-RA-DENT-006</w:t>
      </w:r>
    </w:p>
    <w:p>
      <w:pPr>
        <w:spacing w:after="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spacing w:after="60"/>
      </w:pPr>
      <w:r>
        <w:rPr>
          <w:rFonts w:ascii="Arial" w:cs="Arial" w:eastAsia="Arial" w:hAnsi="Arial"/>
          <w:b/>
          <w:bCs/>
          <w:color w:val="0B1D3A"/>
          <w:sz w:val="20"/>
          <w:szCs w:val="20"/>
        </w:rPr>
        <w:t xml:space="preserve">Review Frequency: </w:t>
      </w:r>
      <w:r>
        <w:rPr>
          <w:rFonts w:ascii="Arial" w:cs="Arial" w:eastAsia="Arial" w:hAnsi="Arial"/>
          <w:color w:val="333333"/>
          <w:sz w:val="20"/>
          <w:szCs w:val="20"/>
        </w:rPr>
        <w:t xml:space="preserve">Annual (or following any incident/significant change)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SCOPE &amp; PURPOSE</w:t>
      </w:r>
    </w:p>
    <w:p>
      <w:pPr>
        <w:spacing w:after="80"/>
      </w:pPr>
      <w:r>
        <w:rPr>
          <w:rFonts w:ascii="Arial" w:cs="Arial" w:eastAsia="Arial" w:hAnsi="Arial"/>
          <w:color w:val="333333"/>
          <w:sz w:val="20"/>
          <w:szCs w:val="20"/>
        </w:rPr>
        <w:t xml:space="preserve">This risk assessment covers the administration of local anaesthetic agents in the dental practice, including infiltration, inferior dental nerve block, and supplementary techniques, addressing risks of adverse reactions, injection injury, and medication errors.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RELEVANT LEGISLATION &amp; GUIDANCE</w:t>
      </w:r>
    </w:p>
    <w:p>
      <w:pPr>
        <w:pStyle w:val="ListParagraph"/>
        <w:numPr>
          <w:ilvl w:val="0"/>
          <w:numId w:val="2"/>
        </w:numPr>
        <w:spacing w:after="40"/>
      </w:pPr>
      <w:r>
        <w:rPr>
          <w:rFonts w:ascii="Arial" w:cs="Arial" w:eastAsia="Arial" w:hAnsi="Arial"/>
          <w:color w:val="333333"/>
          <w:sz w:val="20"/>
          <w:szCs w:val="20"/>
        </w:rPr>
        <w:t xml:space="preserve">Health and Safety at Work etc. Act 1974 (HSWA) – Sections 2 &amp; 3</w:t>
      </w:r>
    </w:p>
    <w:p>
      <w:pPr>
        <w:pStyle w:val="ListParagraph"/>
        <w:numPr>
          <w:ilvl w:val="0"/>
          <w:numId w:val="2"/>
        </w:numPr>
        <w:spacing w:after="40"/>
      </w:pPr>
      <w:r>
        <w:rPr>
          <w:rFonts w:ascii="Arial" w:cs="Arial" w:eastAsia="Arial" w:hAnsi="Arial"/>
          <w:color w:val="333333"/>
          <w:sz w:val="20"/>
          <w:szCs w:val="20"/>
        </w:rPr>
        <w:t xml:space="preserve">Management of Health and Safety at Work Regulations 1999 (SI 1999/3242)</w:t>
      </w:r>
    </w:p>
    <w:p>
      <w:pPr>
        <w:pStyle w:val="ListParagraph"/>
        <w:numPr>
          <w:ilvl w:val="0"/>
          <w:numId w:val="2"/>
        </w:numPr>
        <w:spacing w:after="40"/>
      </w:pPr>
      <w:r>
        <w:rPr>
          <w:rFonts w:ascii="Arial" w:cs="Arial" w:eastAsia="Arial" w:hAnsi="Arial"/>
          <w:color w:val="333333"/>
          <w:sz w:val="20"/>
          <w:szCs w:val="20"/>
        </w:rPr>
        <w:t xml:space="preserve">Human Medicines Regulations 2012 (SI 2012/1916)</w:t>
      </w:r>
    </w:p>
    <w:p>
      <w:pPr>
        <w:pStyle w:val="ListParagraph"/>
        <w:numPr>
          <w:ilvl w:val="0"/>
          <w:numId w:val="2"/>
        </w:numPr>
        <w:spacing w:after="40"/>
      </w:pPr>
      <w:r>
        <w:rPr>
          <w:rFonts w:ascii="Arial" w:cs="Arial" w:eastAsia="Arial" w:hAnsi="Arial"/>
          <w:color w:val="333333"/>
          <w:sz w:val="20"/>
          <w:szCs w:val="20"/>
        </w:rPr>
        <w:t xml:space="preserve">GDC Scope of Practice (2013) – LA administration by dental professionals</w:t>
      </w:r>
    </w:p>
    <w:p>
      <w:pPr>
        <w:pStyle w:val="ListParagraph"/>
        <w:numPr>
          <w:ilvl w:val="0"/>
          <w:numId w:val="2"/>
        </w:numPr>
        <w:spacing w:after="40"/>
      </w:pPr>
      <w:r>
        <w:rPr>
          <w:rFonts w:ascii="Arial" w:cs="Arial" w:eastAsia="Arial" w:hAnsi="Arial"/>
          <w:color w:val="333333"/>
          <w:sz w:val="20"/>
          <w:szCs w:val="20"/>
        </w:rPr>
        <w:t xml:space="preserve">CQC Fundamental Standards – Regulation 12 (Safe Care and Treatment)</w:t>
      </w:r>
    </w:p>
    <w:p>
      <w:pPr>
        <w:pStyle w:val="ListParagraph"/>
        <w:numPr>
          <w:ilvl w:val="0"/>
          <w:numId w:val="2"/>
        </w:numPr>
        <w:spacing w:after="40"/>
      </w:pPr>
      <w:r>
        <w:rPr>
          <w:rFonts w:ascii="Arial" w:cs="Arial" w:eastAsia="Arial" w:hAnsi="Arial"/>
          <w:color w:val="333333"/>
          <w:sz w:val="20"/>
          <w:szCs w:val="20"/>
        </w:rPr>
        <w:t xml:space="preserve">Resuscitation Council UK – Management of Local Anaesthetic Toxicity</w:t>
      </w:r>
    </w:p>
    <w:p>
      <w:pPr>
        <w:pStyle w:val="ListParagraph"/>
        <w:numPr>
          <w:ilvl w:val="0"/>
          <w:numId w:val="2"/>
        </w:numPr>
        <w:spacing w:after="40"/>
      </w:pPr>
      <w:r>
        <w:rPr>
          <w:rFonts w:ascii="Arial" w:cs="Arial" w:eastAsia="Arial" w:hAnsi="Arial"/>
          <w:color w:val="333333"/>
          <w:sz w:val="20"/>
          <w:szCs w:val="20"/>
        </w:rPr>
        <w:t xml:space="preserve">BNF guidance on dental local anaesthetics and maximum safe doses</w:t>
      </w:r>
    </w:p>
    <w:p>
      <w:pPr>
        <w:pStyle w:val="ListParagraph"/>
        <w:numPr>
          <w:ilvl w:val="0"/>
          <w:numId w:val="2"/>
        </w:numPr>
        <w:spacing w:after="40"/>
      </w:pPr>
      <w:r>
        <w:rPr>
          <w:rFonts w:ascii="Arial" w:cs="Arial" w:eastAsia="Arial" w:hAnsi="Arial"/>
          <w:color w:val="333333"/>
          <w:sz w:val="20"/>
          <w:szCs w:val="20"/>
        </w:rPr>
        <w:t xml:space="preserve">Reporting of Injuries, Diseases and Dangerous Occurrences Regulations 2013 (RIDDOR) (SI 2013/1471)</w:t>
      </w:r>
    </w:p>
    <w:p>
      <w:pPr>
        <w:pStyle w:val="ListParagraph"/>
        <w:numPr>
          <w:ilvl w:val="0"/>
          <w:numId w:val="2"/>
        </w:numPr>
        <w:spacing w:after="40"/>
      </w:pPr>
      <w:r>
        <w:rPr>
          <w:rFonts w:ascii="Arial" w:cs="Arial" w:eastAsia="Arial" w:hAnsi="Arial"/>
          <w:color w:val="333333"/>
          <w:sz w:val="20"/>
          <w:szCs w:val="20"/>
        </w:rPr>
        <w:t xml:space="preserve">Personal Protective Equipment at Work Regulations 1992 (SI 1992/2966)</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RISK RATING METHODOLOGY</w:t>
      </w:r>
    </w:p>
    <w:p>
      <w:pPr>
        <w:spacing w:after="80"/>
      </w:pPr>
      <w:r>
        <w:rPr>
          <w:rFonts w:ascii="Arial" w:cs="Arial" w:eastAsia="Arial" w:hAnsi="Arial"/>
          <w:color w:val="333333"/>
          <w:sz w:val="20"/>
          <w:szCs w:val="20"/>
        </w:rPr>
        <w:t xml:space="preserve">Risk Rating = Likelihood (L) × Severity (S). Likelihood: 1 (Rare) to 5 (Almost Certain). Severity: 1 (Negligible) to 5 (Catastrophic).</w:t>
      </w:r>
    </w:p>
    <w:p>
      <w:pPr>
        <w:spacing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3000"/>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27AE60"/>
                <w:sz w:val="18"/>
                <w:szCs w:val="18"/>
              </w:rPr>
              <w:t xml:space="preserve">1–3 (LOW)</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Acceptable risk, monitor</w:t>
            </w:r>
          </w:p>
        </w:tc>
        <w:tc>
          <w:tcPr>
            <w:tcW w:type="dxa" w:w="2000"/>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r>
              <w:rPr>
                <w:rFonts w:ascii="Arial" w:cs="Arial" w:eastAsia="Arial" w:hAnsi="Arial"/>
                <w:b/>
                <w:bCs/>
                <w:color w:val="E67E22"/>
                <w:sz w:val="18"/>
                <w:szCs w:val="18"/>
              </w:rPr>
              <w:t xml:space="preserve">8–12 (MEDIUM)</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Reduce risk where practicable</w:t>
            </w:r>
          </w:p>
        </w:tc>
      </w:tr>
      <w:tr>
        <w:tc>
          <w:tcPr>
            <w:tcW w:type="dxa" w:w="2000"/>
            <w:tcBorders>
              <w:top w:val="single" w:color="CCCCCC" w:sz="1"/>
              <w:left w:val="single" w:color="CCCCCC" w:sz="1"/>
              <w:bottom w:val="single" w:color="CCCCCC" w:sz="1"/>
              <w:right w:val="single" w:color="CCCCCC" w:sz="1"/>
            </w:tcBorders>
            <w:shd w:fill="FFFDE7" w:val="clear"/>
            <w:tcMar>
              <w:top w:type="dxa" w:w="40"/>
              <w:left w:type="dxa" w:w="80"/>
              <w:bottom w:type="dxa" w:w="40"/>
              <w:right w:type="dxa" w:w="80"/>
            </w:tcMar>
          </w:tcPr>
          <w:p>
            <w:r>
              <w:rPr>
                <w:rFonts w:ascii="Arial" w:cs="Arial" w:eastAsia="Arial" w:hAnsi="Arial"/>
                <w:b/>
                <w:bCs/>
                <w:color w:val="F1C40F"/>
                <w:sz w:val="18"/>
                <w:szCs w:val="18"/>
              </w:rPr>
              <w:t xml:space="preserve">4–6 (LOW-MED)</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Monitor, review controls</w:t>
            </w:r>
          </w:p>
        </w:tc>
        <w:tc>
          <w:tcPr>
            <w:tcW w:type="dxa" w:w="2000"/>
            <w:tcBorders>
              <w:top w:val="single" w:color="CCCCCC" w:sz="1"/>
              <w:left w:val="single" w:color="CCCCCC" w:sz="1"/>
              <w:bottom w:val="single" w:color="CCCCCC" w:sz="1"/>
              <w:right w:val="single" w:color="CCCCCC" w:sz="1"/>
            </w:tcBorders>
            <w:shd w:fill="FDEDED" w:val="clear"/>
            <w:tcMar>
              <w:top w:type="dxa" w:w="40"/>
              <w:left w:type="dxa" w:w="80"/>
              <w:bottom w:type="dxa" w:w="40"/>
              <w:right w:type="dxa" w:w="80"/>
            </w:tcMar>
          </w:tcPr>
          <w:p>
            <w:r>
              <w:rPr>
                <w:rFonts w:ascii="Arial" w:cs="Arial" w:eastAsia="Arial" w:hAnsi="Arial"/>
                <w:b/>
                <w:bCs/>
                <w:color w:val="C0392B"/>
                <w:sz w:val="18"/>
                <w:szCs w:val="18"/>
              </w:rPr>
              <w:t xml:space="preserve">15–25 (HIGH)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Immediate action required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ASSESSMENT TABLE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700"/>
        <w:gridCol w:w="700"/>
        <w:gridCol w:w="1000"/>
        <w:gridCol w:w="3878"/>
        <w:gridCol w:w="700"/>
        <w:gridCol w:w="700"/>
        <w:gridCol w:w="1800"/>
      </w:tblGrid>
      <w:tr>
        <w:tc>
          <w:tcPr>
            <w:tcW w:type="dxa" w:w="2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Hazard</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Who at Risk</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0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Rating</w:t>
            </w:r>
          </w:p>
        </w:tc>
        <w:tc>
          <w:tcPr>
            <w:tcW w:type="dxa" w:w="3878"/>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Control Measures</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Residual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Local anaesthetic systemic toxicity (LAST)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Seizures, cardiac arrhythmia, cardiac arrest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5 (LOW-MED)</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Maximum dose calculated per patient weight (lidocaine 4.4mg/kg, articaine 7mg/kg per BNF); aspirating syringe used; slow injection technique; Intralipid 20% available (or equivalent); LAST protocol displayed; BLS/ILS-trained 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5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Allergic reaction to LA/preservative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Urticaria, angioedema, anaphylaxis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5 (LOW-MED)</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Allergy history reviewed before each administration; preservative-free LA available for known sensitivities; true LA allergy extremely rare (investigate with allergy referral); anaphylaxis kit available; 15-minute post-LA observation for first-time patients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Intravascular injection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Rapid systemic toxicity, haematoma</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Aspiration before injection (particularly IDB); slow injection rate; correct anatomical landmarks; patient monitored for signs of intravascular delivery (metallic taste, palpitations); incident documented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Nerve injury (inferior dental/lingual nerve)</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Temporary or permanent altered sensation (paraesthesia/dysaesthesia)</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Correct injection technique per anatomical landmarks; use of smaller gauge needles where appropriate; atraumatic technique; patient warned of risk in consent; nerve injury documented and referred if not resolved within 24 hours; incident reported to MHRA if device-related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Needlestick injury during/after injection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Blood-borne virus transmission</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Staff</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Safety-engineered needles (needle-safe syringes); no re-sheathing or one-handed re-sheathing technique only; sharps bin at point of use; Hepatitis B vaccination; needlestick protocol; RIDDOR reporting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Wrong drug/dose administration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Systemic toxicity, therapeutic failure, patient harm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Check drug name, concentration, and expiry before drawing up; two-person verification for high-risk patients (children, elderly, medically compromised); cartridge label checked against prescription; dose calculated and documented in patient record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ADDITIONAL CONTROL MEASURES &amp; EMERGENCY PROCEDURES</w:t>
      </w:r>
    </w:p>
    <w:p>
      <w:pPr>
        <w:pStyle w:val="ListParagraph"/>
        <w:numPr>
          <w:ilvl w:val="0"/>
          <w:numId w:val="2"/>
        </w:numPr>
        <w:spacing w:after="40"/>
      </w:pPr>
      <w:r>
        <w:rPr>
          <w:rFonts w:ascii="Arial" w:cs="Arial" w:eastAsia="Arial" w:hAnsi="Arial"/>
          <w:color w:val="333333"/>
          <w:sz w:val="20"/>
          <w:szCs w:val="20"/>
        </w:rPr>
        <w:t xml:space="preserve">Intralipid 20% (or equivalent lipid emulsion) stocked and checked monthly; LAST emergency protocol laminated and displayed in each surgery.</w:t>
      </w:r>
    </w:p>
    <w:p>
      <w:pPr>
        <w:pStyle w:val="ListParagraph"/>
        <w:numPr>
          <w:ilvl w:val="0"/>
          <w:numId w:val="2"/>
        </w:numPr>
        <w:spacing w:after="40"/>
      </w:pPr>
      <w:r>
        <w:rPr>
          <w:rFonts w:ascii="Arial" w:cs="Arial" w:eastAsia="Arial" w:hAnsi="Arial"/>
          <w:color w:val="333333"/>
          <w:sz w:val="20"/>
          <w:szCs w:val="20"/>
        </w:rPr>
        <w:t xml:space="preserve">Maximum doses for commonly used dental LAs documented on quick-reference card: lidocaine 2% with 1:80,000 adrenaline (4.4mg/kg, max 300mg adult); articaine 4% with 1:100,000 adrenaline (7mg/kg, max 500mg adult).</w:t>
      </w:r>
    </w:p>
    <w:p>
      <w:pPr>
        <w:pStyle w:val="ListParagraph"/>
        <w:numPr>
          <w:ilvl w:val="0"/>
          <w:numId w:val="2"/>
        </w:numPr>
        <w:spacing w:after="40"/>
      </w:pPr>
      <w:r>
        <w:rPr>
          <w:rFonts w:ascii="Arial" w:cs="Arial" w:eastAsia="Arial" w:hAnsi="Arial"/>
          <w:color w:val="333333"/>
          <w:sz w:val="20"/>
          <w:szCs w:val="20"/>
        </w:rPr>
        <w:t xml:space="preserve">LA cartridges stored per manufacturer instructions (room temperature, light-protected); expired stock disposed of via pharmaceutical waste stream.</w:t>
      </w:r>
    </w:p>
    <w:p>
      <w:pPr>
        <w:pStyle w:val="ListParagraph"/>
        <w:numPr>
          <w:ilvl w:val="0"/>
          <w:numId w:val="2"/>
        </w:numPr>
        <w:spacing w:after="40"/>
      </w:pPr>
      <w:r>
        <w:rPr>
          <w:rFonts w:ascii="Arial" w:cs="Arial" w:eastAsia="Arial" w:hAnsi="Arial"/>
          <w:color w:val="333333"/>
          <w:sz w:val="20"/>
          <w:szCs w:val="20"/>
        </w:rPr>
        <w:t xml:space="preserve">Post-injection self-harm risk (lip/cheek biting) discussed with patients and parents/carers of children; cotton wool roll offered; written advice for paediatric patients.</w:t>
      </w:r>
    </w:p>
    <w:p>
      <w:pPr>
        <w:pStyle w:val="ListParagraph"/>
        <w:numPr>
          <w:ilvl w:val="0"/>
          <w:numId w:val="2"/>
        </w:numPr>
        <w:spacing w:after="40"/>
      </w:pPr>
      <w:r>
        <w:rPr>
          <w:rFonts w:ascii="Arial" w:cs="Arial" w:eastAsia="Arial" w:hAnsi="Arial"/>
          <w:color w:val="333333"/>
          <w:sz w:val="20"/>
          <w:szCs w:val="20"/>
        </w:rPr>
        <w:t xml:space="preserve">Significant adverse events (nerve injury, LAST, allergy) reported via MHRA Yellow Card Scheme, CQC notification, and internal significant event analysis.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MONITORING &amp; REVIEW</w:t>
      </w:r>
    </w:p>
    <w:p>
      <w:pPr>
        <w:spacing w:after="80"/>
      </w:pPr>
      <w:r>
        <w:rPr>
          <w:rFonts w:ascii="Arial" w:cs="Arial" w:eastAsia="Arial" w:hAnsi="Arial"/>
          <w:color w:val="333333"/>
          <w:sz w:val="20"/>
          <w:szCs w:val="20"/>
        </w:rPr>
        <w:t xml:space="preserve">This risk assessment shall be reviewed annually, or sooner if there is a significant change in working practices, an incident occurs, or new legislation/guidance is published. All staff must be made aware of the contents of this document and sign to confirm understanding.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w:t>
      </w:r>
    </w:p>
    <w:p>
      <w:pPr>
        <w:spacing w:after="80"/>
      </w:pPr>
      <w:r>
        <w:rPr>
          <w:rFonts w:ascii="Arial" w:cs="Arial" w:eastAsia="Arial" w:hAnsi="Arial"/>
          <w:color w:val="333333"/>
          <w:sz w:val="20"/>
          <w:szCs w:val="20"/>
        </w:rPr>
        <w:t xml:space="preserve">I confirm that this risk assessment has been carried out in accordance with relevant legislation and that the control measures identified are suitable and sufficient.</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Assessed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Local Anaesthesia Administration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2026-05-15T11:40:24.636Z</dcterms:created>
  <dcterms:modified xsi:type="dcterms:W3CDTF">2026-05-15T11:40:24.636Z</dcterms:modified>
</cp:coreProperties>
</file>

<file path=docProps/custom.xml><?xml version="1.0" encoding="utf-8"?>
<Properties xmlns="http://schemas.openxmlformats.org/officeDocument/2006/custom-properties" xmlns:vt="http://schemas.openxmlformats.org/officeDocument/2006/docPropsVTypes"/>
</file>