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Lone Working in the Dental Practice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BS-RA-DENT-009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Date]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Practice Name &amp; Address]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Frequency: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(or following any incident/significant change)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SCOPE &amp; 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covers situations where dental practice staff may work alone or in isolated areas, including early morning/late evening surgeries, reception staff working alone, out-of-hours access, and domiciliary dental visits.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RELEVANT LEGISLATION &amp;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at Work etc. Act 1974 (HSWA) – Sections 2 &amp;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Management of Health and Safety at Work Regulations 1999 (SI 1999/3242) – Regulation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Workplace (Health, Safety and Welfare) Regulations 1992 (SI 1992/3004)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(First-Aid) Regulations 1981 (SI 1981/917)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Corporate Manslaughter and Corporate Homicide Act 2007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Reporting of Injuries, Diseases and Dangerous Occurrences Regulations 2013 (RIDDOR) (SI 2013/1471)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CQC Fundamental Standards – Regulation 12 (Safe Care and Treatment) &amp; Regulation 18 (Staffing)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GDC Standards for the Dental Team (2013) – Standard 1 (Patient Interests)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NHS England Standard Operating Procedure: Lone Working for Healthcare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HSE Guidance: Working Alone in Safety (INDG73)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RISK RATING METHODOLOGY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Rating = Likelihood (L) × Severity (S). Likelihood: 1 (Rare) to 5 (Almost Certain). Severity: 1 (Negligible) to 5 (Catastrophic).</w:t>
      </w:r>
    </w:p>
    <w:p>
      <w:pPr>
        <w:spacing w:before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1–3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Acceptable risk,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8–12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risk where practicable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4–6 (LOW-MED)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review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15–25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 required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ASSESSMENT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700"/>
        <w:gridCol w:w="700"/>
        <w:gridCol w:w="1000"/>
        <w:gridCol w:w="3878"/>
        <w:gridCol w:w="700"/>
        <w:gridCol w:w="700"/>
        <w:gridCol w:w="180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78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Verbal/physical aggression from patient or intruder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Physical injury, psychological trauma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Lone working policy; personal alarm/panic button at reception and in each surgery; CCTV in communal areas; door entry system with intercom; known aggressive patients flagged in system; conflict resolution training for all 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Medical emergency with no colleague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Delayed treatment, death of patient or staff 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Patient/Staff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two staff on premises during any clinical session; emergency drugs and AED accessible; telephone access to 999; if lone working unavoidable (e.g. admin), buddy system with scheduled check-in calls (every 30 minutes); first aid training for all 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Slip, trip, or fall with no assistance 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Injury with delayed help, prolonged incapacity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Check-in protocol for lone workers (phone/text every 30 minutes); expected finish time logged with nominated contact; mobile phone carried at all times; premises hazards assessed and mitigated (lighting, floor surfaces, cable management)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Domiciliary visit risks (unfamiliar environment)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Assault, environmental hazards, isolation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risk assessment before and on arrival; two-person visits for new or unknown patients; visit details logged with practice (address, patient name, expected duration); GPS-enabled device or lone worker app; post-visit check-in call; right to withdraw if unsafe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Unauthorised access (out-of-hours entry)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Theft, damage, confrontation, personal harm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Intruder alarm system; key/fob access control; CCTV with remote monitoring; out-of-hours access register; staff must not enter alone if signs of break-in (call police); secure drug storage (controlled drugs, sedation equipment)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Psychological impact of lone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Stress, anxiety, reduced wellbeing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6 (LOW-MED)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assessment reviewed with lone workers individually; lone working minimised where possible; regular supervision and welfare check-ins; occupational health referral if needed; stress risk assessment per HSE Management Standards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 (LOW-MED)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ADDITIONAL CONTROL MEASURES &amp; EMERGENCY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Lone working policy reviewed annually; all staff sign to confirm understanding and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safety/conflict resolution training provided to all patient-facing staff at induction and refreshed every 2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Lone worker device or app trialled and deployed for domiciliary visits and out-of-hours working (e.g. StaySafe, SoloProtect).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Incident reporting: all lone working incidents (near misses, verbal abuse, security breaches) recorded and reviewed at monthly team meetings.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Reception area designed for staff safety: physical barrier, clear exit route, panic alarm accessible without patient visibility.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MONITORING &amp; REVIEW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shall be reviewed annually, or sooner if there is a significant change in working practices, an incident occurs, or new legislation/guidance is published. All staff must be made aware of the contents of this document and sign to confirm understanding.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confirm that this risk assessment has been carried out in accordance with relevant legislation and that the control measures identified are suitable and sufficient.</w:t>
      </w:r>
    </w:p>
    <w:p>
      <w:pPr>
        <w:spacing w:before="2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69"/>
        <w:gridCol w:w="3670"/>
        <w:gridCol w:w="3670"/>
      </w:tblGrid>
      <w:tr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Assessed By: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Position: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Review 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Barker Scott. All rights reserved. This document is confidential and intended for the sole use of the named dental practice.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Lone Working in the Dental Practice  |  barker-scott.co.uk  |  Confidential</w:t>
    </w:r>
    <w:r>
      <w:t xml:space="preserve">	</w:t>
    </w:r>
    <w:r>
      <w:rPr>
        <w:rFonts w:ascii="Arial" w:cs="Arial" w:eastAsia="Arial" w:hAnsi="Arial"/>
        <w:color w:val="0B1D3A"/>
        <w:sz w:val="16"/>
        <w:szCs w:val="16"/>
      </w:rPr>
      <w:t xml:space="preserve">Page </w:t>
    </w:r>
    <w:r>
      <w:rPr>
        <w:rFonts w:ascii="Arial" w:cs="Arial" w:eastAsia="Arial" w:hAnsi="Arial"/>
        <w:color w:val="0B1D3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8"/>
        <w:szCs w:val="28"/>
      </w:rPr>
      <w:t xml:space="preserve">  |  </w:t>
    </w:r>
    <w:r>
      <w:rPr>
        <w:rFonts w:ascii="Arial" w:cs="Arial" w:eastAsia="Arial" w:hAnsi="Arial"/>
        <w:color w:val="0B1D3A"/>
        <w:sz w:val="22"/>
        <w:szCs w:val="22"/>
      </w:rPr>
      <w:t xml:space="preserve">Dental Practice Compliance</w:t>
    </w:r>
  </w:p>
  <w:p>
    <w:pPr>
      <w:pBdr>
        <w:bottom w:val="single" w:color="D4AF37" w:sz="6" w:space="1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2026-05-15T11:40:24.886Z</dcterms:created>
  <dcterms:modified xsi:type="dcterms:W3CDTF">2026-05-15T11:40:24.886Z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