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0B1D3A"/>
          <w:sz w:val="36"/>
          <w:szCs w:val="36"/>
        </w:rPr>
        <w:t xml:space="preserve">RISK ASSESSMENT</w:t>
      </w:r>
    </w:p>
    <w:p>
      <w:pPr>
        <w:spacing w:after="100"/>
        <w:jc w:val="center"/>
      </w:pPr>
      <w:r>
        <w:rPr>
          <w:rFonts w:ascii="Arial" w:cs="Arial" w:eastAsia="Arial" w:hAnsi="Arial"/>
          <w:b/>
          <w:bCs/>
          <w:color w:val="D4AF37"/>
          <w:sz w:val="28"/>
          <w:szCs w:val="28"/>
        </w:rPr>
        <w:t xml:space="preserve">Manual Handling &amp; Musculoskeletal Risks</w:t>
      </w:r>
    </w:p>
    <w:p>
      <w:pPr>
        <w:pBdr>
          <w:bottom w:val="single" w:color="D4AF37" w:sz="6" w:space="1"/>
        </w:pBdr>
        <w:spacing w:after="200" w:before="200"/>
      </w:pPr>
    </w:p>
    <w:p>
      <w:pPr>
        <w:spacing w:after="60"/>
      </w:pPr>
      <w:r>
        <w:rPr>
          <w:rFonts w:ascii="Arial" w:cs="Arial" w:eastAsia="Arial" w:hAnsi="Arial"/>
          <w:b/>
          <w:bCs/>
          <w:color w:val="0B1D3A"/>
          <w:sz w:val="20"/>
          <w:szCs w:val="20"/>
        </w:rPr>
        <w:t xml:space="preserve">Reference: </w:t>
      </w:r>
      <w:r>
        <w:rPr>
          <w:rFonts w:ascii="Arial" w:cs="Arial" w:eastAsia="Arial" w:hAnsi="Arial"/>
          <w:color w:val="333333"/>
          <w:sz w:val="20"/>
          <w:szCs w:val="20"/>
        </w:rPr>
        <w:t xml:space="preserve">BS-RA-DENT-010</w:t>
      </w:r>
    </w:p>
    <w:p>
      <w:pPr>
        <w:spacing w:after="60"/>
      </w:pPr>
      <w:r>
        <w:rPr>
          <w:rFonts w:ascii="Arial" w:cs="Arial" w:eastAsia="Arial" w:hAnsi="Arial"/>
          <w:b/>
          <w:bCs/>
          <w:color w:val="0B1D3A"/>
          <w:sz w:val="20"/>
          <w:szCs w:val="20"/>
        </w:rPr>
        <w:t xml:space="preserve">Assessment Date: </w:t>
      </w:r>
      <w:r>
        <w:rPr>
          <w:rFonts w:ascii="Arial" w:cs="Arial" w:eastAsia="Arial" w:hAnsi="Arial"/>
          <w:color w:val="333333"/>
          <w:sz w:val="20"/>
          <w:szCs w:val="20"/>
        </w:rPr>
        <w:t xml:space="preserve">[Insert Date]</w:t>
      </w:r>
    </w:p>
    <w:p>
      <w:pPr>
        <w:spacing w:after="60"/>
      </w:pPr>
      <w:r>
        <w:rPr>
          <w:rFonts w:ascii="Arial" w:cs="Arial" w:eastAsia="Arial" w:hAnsi="Arial"/>
          <w:b/>
          <w:bCs/>
          <w:color w:val="0B1D3A"/>
          <w:sz w:val="20"/>
          <w:szCs w:val="20"/>
        </w:rPr>
        <w:t xml:space="preserve">Assessor: </w:t>
      </w:r>
      <w:r>
        <w:rPr>
          <w:rFonts w:ascii="Arial" w:cs="Arial" w:eastAsia="Arial" w:hAnsi="Arial"/>
          <w:color w:val="333333"/>
          <w:sz w:val="20"/>
          <w:szCs w:val="20"/>
        </w:rPr>
        <w:t xml:space="preserve">[Insert Name]</w:t>
      </w:r>
    </w:p>
    <w:p>
      <w:pPr>
        <w:spacing w:after="60"/>
      </w:pPr>
      <w:r>
        <w:rPr>
          <w:rFonts w:ascii="Arial" w:cs="Arial" w:eastAsia="Arial" w:hAnsi="Arial"/>
          <w:b/>
          <w:bCs/>
          <w:color w:val="0B1D3A"/>
          <w:sz w:val="20"/>
          <w:szCs w:val="20"/>
        </w:rPr>
        <w:t xml:space="preserve">Practice: </w:t>
      </w:r>
      <w:r>
        <w:rPr>
          <w:rFonts w:ascii="Arial" w:cs="Arial" w:eastAsia="Arial" w:hAnsi="Arial"/>
          <w:color w:val="333333"/>
          <w:sz w:val="20"/>
          <w:szCs w:val="20"/>
        </w:rPr>
        <w:t xml:space="preserve">[Insert Practice Name &amp; Address]</w:t>
      </w:r>
    </w:p>
    <w:p>
      <w:pPr>
        <w:spacing w:after="60"/>
      </w:pPr>
      <w:r>
        <w:rPr>
          <w:rFonts w:ascii="Arial" w:cs="Arial" w:eastAsia="Arial" w:hAnsi="Arial"/>
          <w:b/>
          <w:bCs/>
          <w:color w:val="0B1D3A"/>
          <w:sz w:val="20"/>
          <w:szCs w:val="20"/>
        </w:rPr>
        <w:t xml:space="preserve">Review Frequency: </w:t>
      </w:r>
      <w:r>
        <w:rPr>
          <w:rFonts w:ascii="Arial" w:cs="Arial" w:eastAsia="Arial" w:hAnsi="Arial"/>
          <w:color w:val="333333"/>
          <w:sz w:val="20"/>
          <w:szCs w:val="20"/>
        </w:rPr>
        <w:t xml:space="preserve">Annual (or following any incident/significant change)</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1. SCOPE &amp; PURPOSE</w:t>
      </w:r>
    </w:p>
    <w:p>
      <w:pPr>
        <w:spacing w:after="80"/>
      </w:pPr>
      <w:r>
        <w:rPr>
          <w:rFonts w:ascii="Arial" w:cs="Arial" w:eastAsia="Arial" w:hAnsi="Arial"/>
          <w:color w:val="333333"/>
          <w:sz w:val="20"/>
          <w:szCs w:val="20"/>
        </w:rPr>
        <w:t xml:space="preserve">This risk assessment covers musculoskeletal risks to dental staff arising from static postures, repetitive movements, manual handling of equipment and materials, and ergonomic hazards inherent to clinical dentistry, as well as manual handling of deliveries and waste containers.</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2. RELEVANT LEGISLATION &amp; GUIDANCE</w:t>
      </w:r>
    </w:p>
    <w:p>
      <w:pPr>
        <w:pStyle w:val="ListParagraph"/>
        <w:numPr>
          <w:ilvl w:val="0"/>
          <w:numId w:val="2"/>
        </w:numPr>
        <w:spacing w:after="40"/>
      </w:pPr>
      <w:r>
        <w:rPr>
          <w:rFonts w:ascii="Arial" w:cs="Arial" w:eastAsia="Arial" w:hAnsi="Arial"/>
          <w:color w:val="333333"/>
          <w:sz w:val="20"/>
          <w:szCs w:val="20"/>
        </w:rPr>
        <w:t xml:space="preserve">Health and Safety at Work etc. Act 1974 (HSWA) – Sections 2 &amp; 3</w:t>
      </w:r>
    </w:p>
    <w:p>
      <w:pPr>
        <w:pStyle w:val="ListParagraph"/>
        <w:numPr>
          <w:ilvl w:val="0"/>
          <w:numId w:val="2"/>
        </w:numPr>
        <w:spacing w:after="40"/>
      </w:pPr>
      <w:r>
        <w:rPr>
          <w:rFonts w:ascii="Arial" w:cs="Arial" w:eastAsia="Arial" w:hAnsi="Arial"/>
          <w:color w:val="333333"/>
          <w:sz w:val="20"/>
          <w:szCs w:val="20"/>
        </w:rPr>
        <w:t xml:space="preserve">Manual Handling Operations Regulations 1992 (SI 1992/2793) (as amended 2002)</w:t>
      </w:r>
    </w:p>
    <w:p>
      <w:pPr>
        <w:pStyle w:val="ListParagraph"/>
        <w:numPr>
          <w:ilvl w:val="0"/>
          <w:numId w:val="2"/>
        </w:numPr>
        <w:spacing w:after="40"/>
      </w:pPr>
      <w:r>
        <w:rPr>
          <w:rFonts w:ascii="Arial" w:cs="Arial" w:eastAsia="Arial" w:hAnsi="Arial"/>
          <w:color w:val="333333"/>
          <w:sz w:val="20"/>
          <w:szCs w:val="20"/>
        </w:rPr>
        <w:t xml:space="preserve">Management of Health and Safety at Work Regulations 1999 (SI 1999/3242)</w:t>
      </w:r>
    </w:p>
    <w:p>
      <w:pPr>
        <w:pStyle w:val="ListParagraph"/>
        <w:numPr>
          <w:ilvl w:val="0"/>
          <w:numId w:val="2"/>
        </w:numPr>
        <w:spacing w:after="40"/>
      </w:pPr>
      <w:r>
        <w:rPr>
          <w:rFonts w:ascii="Arial" w:cs="Arial" w:eastAsia="Arial" w:hAnsi="Arial"/>
          <w:color w:val="333333"/>
          <w:sz w:val="20"/>
          <w:szCs w:val="20"/>
        </w:rPr>
        <w:t xml:space="preserve">Provision and Use of Work Equipment Regulations 1998 (PUWER) (SI 1998/2306)</w:t>
      </w:r>
    </w:p>
    <w:p>
      <w:pPr>
        <w:pStyle w:val="ListParagraph"/>
        <w:numPr>
          <w:ilvl w:val="0"/>
          <w:numId w:val="2"/>
        </w:numPr>
        <w:spacing w:after="40"/>
      </w:pPr>
      <w:r>
        <w:rPr>
          <w:rFonts w:ascii="Arial" w:cs="Arial" w:eastAsia="Arial" w:hAnsi="Arial"/>
          <w:color w:val="333333"/>
          <w:sz w:val="20"/>
          <w:szCs w:val="20"/>
        </w:rPr>
        <w:t xml:space="preserve">The Workplace (Health, Safety and Welfare) Regulations 1992 (SI 1992/3004)</w:t>
      </w:r>
    </w:p>
    <w:p>
      <w:pPr>
        <w:pStyle w:val="ListParagraph"/>
        <w:numPr>
          <w:ilvl w:val="0"/>
          <w:numId w:val="2"/>
        </w:numPr>
        <w:spacing w:after="40"/>
      </w:pPr>
      <w:r>
        <w:rPr>
          <w:rFonts w:ascii="Arial" w:cs="Arial" w:eastAsia="Arial" w:hAnsi="Arial"/>
          <w:color w:val="333333"/>
          <w:sz w:val="20"/>
          <w:szCs w:val="20"/>
        </w:rPr>
        <w:t xml:space="preserve">Display Screen Equipment Regulations 1992 (SI 1992/2792) – for reception/admin staff</w:t>
      </w:r>
    </w:p>
    <w:p>
      <w:pPr>
        <w:pStyle w:val="ListParagraph"/>
        <w:numPr>
          <w:ilvl w:val="0"/>
          <w:numId w:val="2"/>
        </w:numPr>
        <w:spacing w:after="40"/>
      </w:pPr>
      <w:r>
        <w:rPr>
          <w:rFonts w:ascii="Arial" w:cs="Arial" w:eastAsia="Arial" w:hAnsi="Arial"/>
          <w:color w:val="333333"/>
          <w:sz w:val="20"/>
          <w:szCs w:val="20"/>
        </w:rPr>
        <w:t xml:space="preserve">Personal Protective Equipment at Work Regulations 1992 (SI 1992/2966)</w:t>
      </w:r>
    </w:p>
    <w:p>
      <w:pPr>
        <w:pStyle w:val="ListParagraph"/>
        <w:numPr>
          <w:ilvl w:val="0"/>
          <w:numId w:val="2"/>
        </w:numPr>
        <w:spacing w:after="40"/>
      </w:pPr>
      <w:r>
        <w:rPr>
          <w:rFonts w:ascii="Arial" w:cs="Arial" w:eastAsia="Arial" w:hAnsi="Arial"/>
          <w:color w:val="333333"/>
          <w:sz w:val="20"/>
          <w:szCs w:val="20"/>
        </w:rPr>
        <w:t xml:space="preserve">Reporting of Injuries, Diseases and Dangerous Occurrences Regulations 2013 (RIDDOR) (SI 2013/1471)</w:t>
      </w:r>
    </w:p>
    <w:p>
      <w:pPr>
        <w:pStyle w:val="ListParagraph"/>
        <w:numPr>
          <w:ilvl w:val="0"/>
          <w:numId w:val="2"/>
        </w:numPr>
        <w:spacing w:after="40"/>
      </w:pPr>
      <w:r>
        <w:rPr>
          <w:rFonts w:ascii="Arial" w:cs="Arial" w:eastAsia="Arial" w:hAnsi="Arial"/>
          <w:color w:val="333333"/>
          <w:sz w:val="20"/>
          <w:szCs w:val="20"/>
        </w:rPr>
        <w:t xml:space="preserve">HSE Guidance: Musculoskeletal Disorders in Dentistry (INDG454)</w:t>
      </w:r>
    </w:p>
    <w:p>
      <w:pPr>
        <w:pStyle w:val="ListParagraph"/>
        <w:numPr>
          <w:ilvl w:val="0"/>
          <w:numId w:val="2"/>
        </w:numPr>
        <w:spacing w:after="40"/>
      </w:pPr>
      <w:r>
        <w:rPr>
          <w:rFonts w:ascii="Arial" w:cs="Arial" w:eastAsia="Arial" w:hAnsi="Arial"/>
          <w:color w:val="333333"/>
          <w:sz w:val="20"/>
          <w:szCs w:val="20"/>
        </w:rPr>
        <w:t xml:space="preserve">BDA Advice Sheet: Ergonomics and Musculoskeletal Health for Dental Professionals</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3. RISK RATING METHODOLOGY</w:t>
      </w:r>
    </w:p>
    <w:p>
      <w:pPr>
        <w:spacing w:after="80"/>
      </w:pPr>
      <w:r>
        <w:rPr>
          <w:rFonts w:ascii="Arial" w:cs="Arial" w:eastAsia="Arial" w:hAnsi="Arial"/>
          <w:color w:val="333333"/>
          <w:sz w:val="20"/>
          <w:szCs w:val="20"/>
        </w:rPr>
        <w:t xml:space="preserve">Risk Rating = Likelihood (L) × Severity (S). Likelihood: 1 (Rare) to 5 (Almost Certain). Severity: 1 (Negligible) to 5 (Catastrophic).</w:t>
      </w:r>
    </w:p>
    <w:p>
      <w:pPr>
        <w:spacing w:before="10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3000"/>
      </w:tblGrid>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27AE60"/>
                <w:sz w:val="18"/>
                <w:szCs w:val="18"/>
              </w:rPr>
              <w:t xml:space="preserve">1–3 (LOW)</w:t>
            </w:r>
          </w:p>
        </w:tc>
        <w:tc>
          <w:tcPr>
            <w:tcW w:type="dxa" w:w="3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333333"/>
                <w:sz w:val="18"/>
                <w:szCs w:val="18"/>
              </w:rPr>
              <w:t xml:space="preserve">Acceptable risk, monitor</w:t>
            </w:r>
          </w:p>
        </w:tc>
        <w:tc>
          <w:tcPr>
            <w:tcW w:type="dxa" w:w="2000"/>
            <w:tcBorders>
              <w:top w:val="single" w:color="CCCCCC" w:sz="1"/>
              <w:left w:val="single" w:color="CCCCCC" w:sz="1"/>
              <w:bottom w:val="single" w:color="CCCCCC" w:sz="1"/>
              <w:right w:val="single" w:color="CCCCCC" w:sz="1"/>
            </w:tcBorders>
            <w:shd w:fill="FFF3E0" w:val="clear"/>
            <w:tcMar>
              <w:top w:type="dxa" w:w="40"/>
              <w:left w:type="dxa" w:w="80"/>
              <w:bottom w:type="dxa" w:w="40"/>
              <w:right w:type="dxa" w:w="80"/>
            </w:tcMar>
          </w:tcPr>
          <w:p>
            <w:r>
              <w:rPr>
                <w:rFonts w:ascii="Arial" w:cs="Arial" w:eastAsia="Arial" w:hAnsi="Arial"/>
                <w:b/>
                <w:bCs/>
                <w:color w:val="E67E22"/>
                <w:sz w:val="18"/>
                <w:szCs w:val="18"/>
              </w:rPr>
              <w:t xml:space="preserve">8–12 (MEDIUM)</w:t>
            </w:r>
          </w:p>
        </w:tc>
        <w:tc>
          <w:tcPr>
            <w:tcW w:type="dxa" w:w="3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333333"/>
                <w:sz w:val="18"/>
                <w:szCs w:val="18"/>
              </w:rPr>
              <w:t xml:space="preserve">Reduce risk where practicable</w:t>
            </w:r>
          </w:p>
        </w:tc>
      </w:tr>
      <w:tr>
        <w:tc>
          <w:tcPr>
            <w:tcW w:type="dxa" w:w="2000"/>
            <w:tcBorders>
              <w:top w:val="single" w:color="CCCCCC" w:sz="1"/>
              <w:left w:val="single" w:color="CCCCCC" w:sz="1"/>
              <w:bottom w:val="single" w:color="CCCCCC" w:sz="1"/>
              <w:right w:val="single" w:color="CCCCCC" w:sz="1"/>
            </w:tcBorders>
            <w:shd w:fill="FFFDE7" w:val="clear"/>
            <w:tcMar>
              <w:top w:type="dxa" w:w="40"/>
              <w:left w:type="dxa" w:w="80"/>
              <w:bottom w:type="dxa" w:w="40"/>
              <w:right w:type="dxa" w:w="80"/>
            </w:tcMar>
          </w:tcPr>
          <w:p>
            <w:r>
              <w:rPr>
                <w:rFonts w:ascii="Arial" w:cs="Arial" w:eastAsia="Arial" w:hAnsi="Arial"/>
                <w:b/>
                <w:bCs/>
                <w:color w:val="F1C40F"/>
                <w:sz w:val="18"/>
                <w:szCs w:val="18"/>
              </w:rPr>
              <w:t xml:space="preserve">4–6 (LOW-MED)</w:t>
            </w:r>
          </w:p>
        </w:tc>
        <w:tc>
          <w:tcPr>
            <w:tcW w:type="dxa" w:w="3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333333"/>
                <w:sz w:val="18"/>
                <w:szCs w:val="18"/>
              </w:rPr>
              <w:t xml:space="preserve">Monitor, review controls</w:t>
            </w:r>
          </w:p>
        </w:tc>
        <w:tc>
          <w:tcPr>
            <w:tcW w:type="dxa" w:w="2000"/>
            <w:tcBorders>
              <w:top w:val="single" w:color="CCCCCC" w:sz="1"/>
              <w:left w:val="single" w:color="CCCCCC" w:sz="1"/>
              <w:bottom w:val="single" w:color="CCCCCC" w:sz="1"/>
              <w:right w:val="single" w:color="CCCCCC" w:sz="1"/>
            </w:tcBorders>
            <w:shd w:fill="FDEDED" w:val="clear"/>
            <w:tcMar>
              <w:top w:type="dxa" w:w="40"/>
              <w:left w:type="dxa" w:w="80"/>
              <w:bottom w:type="dxa" w:w="40"/>
              <w:right w:type="dxa" w:w="80"/>
            </w:tcMar>
          </w:tcPr>
          <w:p>
            <w:r>
              <w:rPr>
                <w:rFonts w:ascii="Arial" w:cs="Arial" w:eastAsia="Arial" w:hAnsi="Arial"/>
                <w:b/>
                <w:bCs/>
                <w:color w:val="C0392B"/>
                <w:sz w:val="18"/>
                <w:szCs w:val="18"/>
              </w:rPr>
              <w:t xml:space="preserve">15–25 (HIGH)</w:t>
            </w:r>
          </w:p>
        </w:tc>
        <w:tc>
          <w:tcPr>
            <w:tcW w:type="dxa" w:w="3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333333"/>
                <w:sz w:val="18"/>
                <w:szCs w:val="18"/>
              </w:rPr>
              <w:t xml:space="preserve">Immediate action required</w:t>
            </w:r>
          </w:p>
        </w:tc>
      </w:tr>
    </w:tbl>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4. RISK ASSESSMENT TABLE</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700"/>
        <w:gridCol w:w="700"/>
        <w:gridCol w:w="1000"/>
        <w:gridCol w:w="3878"/>
        <w:gridCol w:w="700"/>
        <w:gridCol w:w="700"/>
        <w:gridCol w:w="1800"/>
      </w:tblGrid>
      <w:tr>
        <w:tc>
          <w:tcPr>
            <w:tcW w:type="dxa" w:w="2200"/>
            <w:tcBorders>
              <w:top w:val="single" w:color="D4AF37" w:sz="1"/>
              <w:left w:val="single" w:color="D4AF37" w:sz="1"/>
              <w:bottom w:val="single" w:color="D4AF37" w:sz="1"/>
              <w:right w:val="single" w:color="D4AF37"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Hazard</w:t>
            </w:r>
          </w:p>
        </w:tc>
        <w:tc>
          <w:tcPr>
            <w:tcW w:type="dxa" w:w="1800"/>
            <w:tcBorders>
              <w:top w:val="single" w:color="D4AF37" w:sz="1"/>
              <w:left w:val="single" w:color="D4AF37" w:sz="1"/>
              <w:bottom w:val="single" w:color="D4AF37" w:sz="1"/>
              <w:right w:val="single" w:color="D4AF37"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Risk</w:t>
            </w:r>
          </w:p>
        </w:tc>
        <w:tc>
          <w:tcPr>
            <w:tcW w:type="dxa" w:w="1200"/>
            <w:tcBorders>
              <w:top w:val="single" w:color="D4AF37" w:sz="1"/>
              <w:left w:val="single" w:color="D4AF37" w:sz="1"/>
              <w:bottom w:val="single" w:color="D4AF37" w:sz="1"/>
              <w:right w:val="single" w:color="D4AF37"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Who at Risk</w:t>
            </w:r>
          </w:p>
        </w:tc>
        <w:tc>
          <w:tcPr>
            <w:tcW w:type="dxa" w:w="700"/>
            <w:tcBorders>
              <w:top w:val="single" w:color="D4AF37" w:sz="1"/>
              <w:left w:val="single" w:color="D4AF37" w:sz="1"/>
              <w:bottom w:val="single" w:color="D4AF37" w:sz="1"/>
              <w:right w:val="single" w:color="D4AF37"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L</w:t>
            </w:r>
          </w:p>
        </w:tc>
        <w:tc>
          <w:tcPr>
            <w:tcW w:type="dxa" w:w="700"/>
            <w:tcBorders>
              <w:top w:val="single" w:color="D4AF37" w:sz="1"/>
              <w:left w:val="single" w:color="D4AF37" w:sz="1"/>
              <w:bottom w:val="single" w:color="D4AF37" w:sz="1"/>
              <w:right w:val="single" w:color="D4AF37"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S</w:t>
            </w:r>
          </w:p>
        </w:tc>
        <w:tc>
          <w:tcPr>
            <w:tcW w:type="dxa" w:w="1000"/>
            <w:tcBorders>
              <w:top w:val="single" w:color="D4AF37" w:sz="1"/>
              <w:left w:val="single" w:color="D4AF37" w:sz="1"/>
              <w:bottom w:val="single" w:color="D4AF37" w:sz="1"/>
              <w:right w:val="single" w:color="D4AF37"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Rating</w:t>
            </w:r>
          </w:p>
        </w:tc>
        <w:tc>
          <w:tcPr>
            <w:tcW w:type="dxa" w:w="3878"/>
            <w:tcBorders>
              <w:top w:val="single" w:color="D4AF37" w:sz="1"/>
              <w:left w:val="single" w:color="D4AF37" w:sz="1"/>
              <w:bottom w:val="single" w:color="D4AF37" w:sz="1"/>
              <w:right w:val="single" w:color="D4AF37"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Control Measures</w:t>
            </w:r>
          </w:p>
        </w:tc>
        <w:tc>
          <w:tcPr>
            <w:tcW w:type="dxa" w:w="700"/>
            <w:tcBorders>
              <w:top w:val="single" w:color="D4AF37" w:sz="1"/>
              <w:left w:val="single" w:color="D4AF37" w:sz="1"/>
              <w:bottom w:val="single" w:color="D4AF37" w:sz="1"/>
              <w:right w:val="single" w:color="D4AF37"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L</w:t>
            </w:r>
          </w:p>
        </w:tc>
        <w:tc>
          <w:tcPr>
            <w:tcW w:type="dxa" w:w="700"/>
            <w:tcBorders>
              <w:top w:val="single" w:color="D4AF37" w:sz="1"/>
              <w:left w:val="single" w:color="D4AF37" w:sz="1"/>
              <w:bottom w:val="single" w:color="D4AF37" w:sz="1"/>
              <w:right w:val="single" w:color="D4AF37"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S</w:t>
            </w:r>
          </w:p>
        </w:tc>
        <w:tc>
          <w:tcPr>
            <w:tcW w:type="dxa" w:w="1800"/>
            <w:tcBorders>
              <w:top w:val="single" w:color="D4AF37" w:sz="1"/>
              <w:left w:val="single" w:color="D4AF37" w:sz="1"/>
              <w:bottom w:val="single" w:color="D4AF37" w:sz="1"/>
              <w:right w:val="single" w:color="D4AF37"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Residual</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Sustained static posture (clinical dentistry)</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Chronic back/neck/shoulder pain, disc herniation, carpal tunnel syndrome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Dentist/Hygienist/Therapist</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4</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3</w:t>
            </w:r>
          </w:p>
        </w:tc>
        <w:tc>
          <w:tcPr>
            <w:tcW w:type="dxa" w:w="1000"/>
            <w:tcBorders>
              <w:top w:val="single" w:color="CCCCCC" w:sz="1"/>
              <w:left w:val="single" w:color="CCCCCC" w:sz="1"/>
              <w:bottom w:val="single" w:color="CCCCCC" w:sz="1"/>
              <w:right w:val="single" w:color="CCCCCC" w:sz="1"/>
            </w:tcBorders>
            <w:shd w:fill="FFF3E0" w:val="clear"/>
            <w:tcMar>
              <w:top w:type="dxa" w:w="50"/>
              <w:left w:type="dxa" w:w="80"/>
              <w:bottom w:type="dxa" w:w="50"/>
              <w:right w:type="dxa" w:w="80"/>
            </w:tcMar>
            <w:vAlign w:val="center"/>
          </w:tcPr>
          <w:p>
            <w:pPr>
              <w:spacing w:after="0"/>
            </w:pPr>
            <w:r>
              <w:rPr>
                <w:rFonts w:ascii="Arial" w:cs="Arial" w:eastAsia="Arial" w:hAnsi="Arial"/>
                <w:b/>
                <w:bCs/>
                <w:color w:val="E67E22"/>
                <w:sz w:val="18"/>
                <w:szCs w:val="18"/>
              </w:rPr>
              <w:t xml:space="preserve">12 (MEDIUM)</w:t>
            </w:r>
          </w:p>
        </w:tc>
        <w:tc>
          <w:tcPr>
            <w:tcW w:type="dxa" w:w="3878"/>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Ergonomic dental chair and operator stool (saddle stool recommended); correct working posture training (neutral spine, elbows at 90°, magnification loupes to reduce forward head tilt); micro-breaks every 30 minutes; vary procedure types throughout day</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2</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3</w:t>
            </w:r>
          </w:p>
        </w:tc>
        <w:tc>
          <w:tcPr>
            <w:tcW w:type="dxa" w:w="1800"/>
            <w:tcBorders>
              <w:top w:val="single" w:color="CCCCCC" w:sz="1"/>
              <w:left w:val="single" w:color="CCCCCC" w:sz="1"/>
              <w:bottom w:val="single" w:color="CCCCCC" w:sz="1"/>
              <w:right w:val="single" w:color="CCCCCC" w:sz="1"/>
            </w:tcBorders>
            <w:shd w:fill="FFFDE7" w:val="clear"/>
            <w:tcMar>
              <w:top w:type="dxa" w:w="50"/>
              <w:left w:type="dxa" w:w="80"/>
              <w:bottom w:type="dxa" w:w="50"/>
              <w:right w:type="dxa" w:w="80"/>
            </w:tcMar>
            <w:vAlign w:val="center"/>
          </w:tcPr>
          <w:p>
            <w:pPr>
              <w:spacing w:after="0"/>
            </w:pPr>
            <w:r>
              <w:rPr>
                <w:rFonts w:ascii="Arial" w:cs="Arial" w:eastAsia="Arial" w:hAnsi="Arial"/>
                <w:b/>
                <w:bCs/>
                <w:color w:val="F1C40F"/>
                <w:sz w:val="18"/>
                <w:szCs w:val="18"/>
              </w:rPr>
              <w:t xml:space="preserve">6 (LOW-MED)</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Repetitive hand/wrist movements (scaling, instrumentation)</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Carpal tunnel syndrome, tendonitis, trigger finger</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Dentist/Hygienist</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4</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3</w:t>
            </w:r>
          </w:p>
        </w:tc>
        <w:tc>
          <w:tcPr>
            <w:tcW w:type="dxa" w:w="1000"/>
            <w:tcBorders>
              <w:top w:val="single" w:color="CCCCCC" w:sz="1"/>
              <w:left w:val="single" w:color="CCCCCC" w:sz="1"/>
              <w:bottom w:val="single" w:color="CCCCCC" w:sz="1"/>
              <w:right w:val="single" w:color="CCCCCC" w:sz="1"/>
            </w:tcBorders>
            <w:shd w:fill="FFF3E0" w:val="clear"/>
            <w:tcMar>
              <w:top w:type="dxa" w:w="50"/>
              <w:left w:type="dxa" w:w="80"/>
              <w:bottom w:type="dxa" w:w="50"/>
              <w:right w:type="dxa" w:w="80"/>
            </w:tcMar>
            <w:vAlign w:val="center"/>
          </w:tcPr>
          <w:p>
            <w:pPr>
              <w:spacing w:after="0"/>
            </w:pPr>
            <w:r>
              <w:rPr>
                <w:rFonts w:ascii="Arial" w:cs="Arial" w:eastAsia="Arial" w:hAnsi="Arial"/>
                <w:b/>
                <w:bCs/>
                <w:color w:val="E67E22"/>
                <w:sz w:val="18"/>
                <w:szCs w:val="18"/>
              </w:rPr>
              <w:t xml:space="preserve">12 (MEDIUM)</w:t>
            </w:r>
          </w:p>
        </w:tc>
        <w:tc>
          <w:tcPr>
            <w:tcW w:type="dxa" w:w="3878"/>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Ergonomically designed instruments (lightweight, wide-diameter handles); powered/ultrasonic instruments to reduce manual effort; instrument sharpening programme; hand and wrist stretching exercises; workload management</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2</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2</w:t>
            </w:r>
          </w:p>
        </w:tc>
        <w:tc>
          <w:tcPr>
            <w:tcW w:type="dxa" w:w="1800"/>
            <w:tcBorders>
              <w:top w:val="single" w:color="CCCCCC" w:sz="1"/>
              <w:left w:val="single" w:color="CCCCCC" w:sz="1"/>
              <w:bottom w:val="single" w:color="CCCCCC" w:sz="1"/>
              <w:right w:val="single" w:color="CCCCCC" w:sz="1"/>
            </w:tcBorders>
            <w:shd w:fill="FFFDE7" w:val="clear"/>
            <w:tcMar>
              <w:top w:type="dxa" w:w="50"/>
              <w:left w:type="dxa" w:w="80"/>
              <w:bottom w:type="dxa" w:w="50"/>
              <w:right w:type="dxa" w:w="80"/>
            </w:tcMar>
            <w:vAlign w:val="center"/>
          </w:tcPr>
          <w:p>
            <w:pPr>
              <w:spacing w:after="0"/>
            </w:pPr>
            <w:r>
              <w:rPr>
                <w:rFonts w:ascii="Arial" w:cs="Arial" w:eastAsia="Arial" w:hAnsi="Arial"/>
                <w:b/>
                <w:bCs/>
                <w:color w:val="F1C40F"/>
                <w:sz w:val="18"/>
                <w:szCs w:val="18"/>
              </w:rPr>
              <w:t xml:space="preserve">4 (LOW-MED)</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Manual handling of heavy equipment/supplies</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Back injury, muscle strain, crush injury</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All staff</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3</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3</w:t>
            </w:r>
          </w:p>
        </w:tc>
        <w:tc>
          <w:tcPr>
            <w:tcW w:type="dxa" w:w="1000"/>
            <w:tcBorders>
              <w:top w:val="single" w:color="CCCCCC" w:sz="1"/>
              <w:left w:val="single" w:color="CCCCCC" w:sz="1"/>
              <w:bottom w:val="single" w:color="CCCCCC" w:sz="1"/>
              <w:right w:val="single" w:color="CCCCCC" w:sz="1"/>
            </w:tcBorders>
            <w:shd w:fill="FFF3E0" w:val="clear"/>
            <w:tcMar>
              <w:top w:type="dxa" w:w="50"/>
              <w:left w:type="dxa" w:w="80"/>
              <w:bottom w:type="dxa" w:w="50"/>
              <w:right w:type="dxa" w:w="80"/>
            </w:tcMar>
            <w:vAlign w:val="center"/>
          </w:tcPr>
          <w:p>
            <w:pPr>
              <w:spacing w:after="0"/>
            </w:pPr>
            <w:r>
              <w:rPr>
                <w:rFonts w:ascii="Arial" w:cs="Arial" w:eastAsia="Arial" w:hAnsi="Arial"/>
                <w:b/>
                <w:bCs/>
                <w:color w:val="E67E22"/>
                <w:sz w:val="18"/>
                <w:szCs w:val="18"/>
              </w:rPr>
              <w:t xml:space="preserve">9 (MEDIUM)</w:t>
            </w:r>
          </w:p>
        </w:tc>
        <w:tc>
          <w:tcPr>
            <w:tcW w:type="dxa" w:w="3878"/>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Manual handling assessment per MHOR 1992; deliveries broken into manageable loads; trolley provided for heavy items (autoclave cassettes, water bottles, waste containers); manual handling training at induction and annually; two-person lifts for items &gt;15kg</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1</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2</w:t>
            </w:r>
          </w:p>
        </w:tc>
        <w:tc>
          <w:tcPr>
            <w:tcW w:type="dxa" w:w="1800"/>
            <w:tcBorders>
              <w:top w:val="single" w:color="CCCCCC" w:sz="1"/>
              <w:left w:val="single" w:color="CCCCCC" w:sz="1"/>
              <w:bottom w:val="single" w:color="CCCCCC" w:sz="1"/>
              <w:right w:val="single" w:color="CCCCCC" w:sz="1"/>
            </w:tcBorders>
            <w:shd w:fill="E8F5E9" w:val="clear"/>
            <w:tcMar>
              <w:top w:type="dxa" w:w="50"/>
              <w:left w:type="dxa" w:w="80"/>
              <w:bottom w:type="dxa" w:w="50"/>
              <w:right w:type="dxa" w:w="80"/>
            </w:tcMar>
            <w:vAlign w:val="center"/>
          </w:tcPr>
          <w:p>
            <w:pPr>
              <w:spacing w:after="0"/>
            </w:pPr>
            <w:r>
              <w:rPr>
                <w:rFonts w:ascii="Arial" w:cs="Arial" w:eastAsia="Arial" w:hAnsi="Arial"/>
                <w:b/>
                <w:bCs/>
                <w:color w:val="27AE60"/>
                <w:sz w:val="18"/>
                <w:szCs w:val="18"/>
              </w:rPr>
              <w:t xml:space="preserve">2 (LOW)</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Dental nurse: prolonged standing/twisting</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Lower back pain, varicose veins, fatigue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Dental nurse</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4</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2</w:t>
            </w:r>
          </w:p>
        </w:tc>
        <w:tc>
          <w:tcPr>
            <w:tcW w:type="dxa" w:w="1000"/>
            <w:tcBorders>
              <w:top w:val="single" w:color="CCCCCC" w:sz="1"/>
              <w:left w:val="single" w:color="CCCCCC" w:sz="1"/>
              <w:bottom w:val="single" w:color="CCCCCC" w:sz="1"/>
              <w:right w:val="single" w:color="CCCCCC" w:sz="1"/>
            </w:tcBorders>
            <w:shd w:fill="FFF3E0" w:val="clear"/>
            <w:tcMar>
              <w:top w:type="dxa" w:w="50"/>
              <w:left w:type="dxa" w:w="80"/>
              <w:bottom w:type="dxa" w:w="50"/>
              <w:right w:type="dxa" w:w="80"/>
            </w:tcMar>
            <w:vAlign w:val="center"/>
          </w:tcPr>
          <w:p>
            <w:pPr>
              <w:spacing w:after="0"/>
            </w:pPr>
            <w:r>
              <w:rPr>
                <w:rFonts w:ascii="Arial" w:cs="Arial" w:eastAsia="Arial" w:hAnsi="Arial"/>
                <w:b/>
                <w:bCs/>
                <w:color w:val="E67E22"/>
                <w:sz w:val="18"/>
                <w:szCs w:val="18"/>
              </w:rPr>
              <w:t xml:space="preserve">8 (MEDIUM)</w:t>
            </w:r>
          </w:p>
        </w:tc>
        <w:tc>
          <w:tcPr>
            <w:tcW w:type="dxa" w:w="3878"/>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Anti-fatigue matting; supportive footwear guidance; nurse positioning close to instrument tray to avoid twisting; sit-stand stool available; scheduled breaks; four-handed dentistry training to optimise positioning</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2</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2</w:t>
            </w:r>
          </w:p>
        </w:tc>
        <w:tc>
          <w:tcPr>
            <w:tcW w:type="dxa" w:w="1800"/>
            <w:tcBorders>
              <w:top w:val="single" w:color="CCCCCC" w:sz="1"/>
              <w:left w:val="single" w:color="CCCCCC" w:sz="1"/>
              <w:bottom w:val="single" w:color="CCCCCC" w:sz="1"/>
              <w:right w:val="single" w:color="CCCCCC" w:sz="1"/>
            </w:tcBorders>
            <w:shd w:fill="FFFDE7" w:val="clear"/>
            <w:tcMar>
              <w:top w:type="dxa" w:w="50"/>
              <w:left w:type="dxa" w:w="80"/>
              <w:bottom w:type="dxa" w:w="50"/>
              <w:right w:type="dxa" w:w="80"/>
            </w:tcMar>
            <w:vAlign w:val="center"/>
          </w:tcPr>
          <w:p>
            <w:pPr>
              <w:spacing w:after="0"/>
            </w:pPr>
            <w:r>
              <w:rPr>
                <w:rFonts w:ascii="Arial" w:cs="Arial" w:eastAsia="Arial" w:hAnsi="Arial"/>
                <w:b/>
                <w:bCs/>
                <w:color w:val="F1C40F"/>
                <w:sz w:val="18"/>
                <w:szCs w:val="18"/>
              </w:rPr>
              <w:t xml:space="preserve">4 (LOW-MED)</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Display Screen Equipment (reception/admin staff)</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Eye strain, neck/back pain, upper limb disorders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Reception/Admin</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3</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2</w:t>
            </w:r>
          </w:p>
        </w:tc>
        <w:tc>
          <w:tcPr>
            <w:tcW w:type="dxa" w:w="1000"/>
            <w:tcBorders>
              <w:top w:val="single" w:color="CCCCCC" w:sz="1"/>
              <w:left w:val="single" w:color="CCCCCC" w:sz="1"/>
              <w:bottom w:val="single" w:color="CCCCCC" w:sz="1"/>
              <w:right w:val="single" w:color="CCCCCC" w:sz="1"/>
            </w:tcBorders>
            <w:shd w:fill="FFFDE7" w:val="clear"/>
            <w:tcMar>
              <w:top w:type="dxa" w:w="50"/>
              <w:left w:type="dxa" w:w="80"/>
              <w:bottom w:type="dxa" w:w="50"/>
              <w:right w:type="dxa" w:w="80"/>
            </w:tcMar>
            <w:vAlign w:val="center"/>
          </w:tcPr>
          <w:p>
            <w:pPr>
              <w:spacing w:after="0"/>
            </w:pPr>
            <w:r>
              <w:rPr>
                <w:rFonts w:ascii="Arial" w:cs="Arial" w:eastAsia="Arial" w:hAnsi="Arial"/>
                <w:b/>
                <w:bCs/>
                <w:color w:val="F1C40F"/>
                <w:sz w:val="18"/>
                <w:szCs w:val="18"/>
              </w:rPr>
              <w:t xml:space="preserve">6 (LOW-MED)</w:t>
            </w:r>
          </w:p>
        </w:tc>
        <w:tc>
          <w:tcPr>
            <w:tcW w:type="dxa" w:w="3878"/>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DSE assessment per DSE Regulations 1992; adjustable chair, monitor at eye level, keyboard and mouse at correct height; screen breaks (5–10 mins per hour); eye test offered per regulations; workstation assessed by trained assessor</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1</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2</w:t>
            </w:r>
          </w:p>
        </w:tc>
        <w:tc>
          <w:tcPr>
            <w:tcW w:type="dxa" w:w="1800"/>
            <w:tcBorders>
              <w:top w:val="single" w:color="CCCCCC" w:sz="1"/>
              <w:left w:val="single" w:color="CCCCCC" w:sz="1"/>
              <w:bottom w:val="single" w:color="CCCCCC" w:sz="1"/>
              <w:right w:val="single" w:color="CCCCCC" w:sz="1"/>
            </w:tcBorders>
            <w:shd w:fill="E8F5E9" w:val="clear"/>
            <w:tcMar>
              <w:top w:type="dxa" w:w="50"/>
              <w:left w:type="dxa" w:w="80"/>
              <w:bottom w:type="dxa" w:w="50"/>
              <w:right w:type="dxa" w:w="80"/>
            </w:tcMar>
            <w:vAlign w:val="center"/>
          </w:tcPr>
          <w:p>
            <w:pPr>
              <w:spacing w:after="0"/>
            </w:pPr>
            <w:r>
              <w:rPr>
                <w:rFonts w:ascii="Arial" w:cs="Arial" w:eastAsia="Arial" w:hAnsi="Arial"/>
                <w:b/>
                <w:bCs/>
                <w:color w:val="27AE60"/>
                <w:sz w:val="18"/>
                <w:szCs w:val="18"/>
              </w:rPr>
              <w:t xml:space="preserve">2 (LOW)</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Vibration from dental handpieces</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Hand-arm vibration syndrome (HAVS), Raynaud’s phenomenon</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Dentist/Hygienist</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3</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3</w:t>
            </w:r>
          </w:p>
        </w:tc>
        <w:tc>
          <w:tcPr>
            <w:tcW w:type="dxa" w:w="1000"/>
            <w:tcBorders>
              <w:top w:val="single" w:color="CCCCCC" w:sz="1"/>
              <w:left w:val="single" w:color="CCCCCC" w:sz="1"/>
              <w:bottom w:val="single" w:color="CCCCCC" w:sz="1"/>
              <w:right w:val="single" w:color="CCCCCC" w:sz="1"/>
            </w:tcBorders>
            <w:shd w:fill="FFF3E0" w:val="clear"/>
            <w:tcMar>
              <w:top w:type="dxa" w:w="50"/>
              <w:left w:type="dxa" w:w="80"/>
              <w:bottom w:type="dxa" w:w="50"/>
              <w:right w:type="dxa" w:w="80"/>
            </w:tcMar>
            <w:vAlign w:val="center"/>
          </w:tcPr>
          <w:p>
            <w:pPr>
              <w:spacing w:after="0"/>
            </w:pPr>
            <w:r>
              <w:rPr>
                <w:rFonts w:ascii="Arial" w:cs="Arial" w:eastAsia="Arial" w:hAnsi="Arial"/>
                <w:b/>
                <w:bCs/>
                <w:color w:val="E67E22"/>
                <w:sz w:val="18"/>
                <w:szCs w:val="18"/>
              </w:rPr>
              <w:t xml:space="preserve">9 (MEDIUM)</w:t>
            </w:r>
          </w:p>
        </w:tc>
        <w:tc>
          <w:tcPr>
            <w:tcW w:type="dxa" w:w="3878"/>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Well-maintained handpieces to minimise vibration (PUWER compliance); exposure duration monitored; staff aware of HAVS symptoms; warm hands before use; health surveillance if exposure exceeds action value per Control of Vibration at Work Regulations 2005</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1</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2</w:t>
            </w:r>
          </w:p>
        </w:tc>
        <w:tc>
          <w:tcPr>
            <w:tcW w:type="dxa" w:w="1800"/>
            <w:tcBorders>
              <w:top w:val="single" w:color="CCCCCC" w:sz="1"/>
              <w:left w:val="single" w:color="CCCCCC" w:sz="1"/>
              <w:bottom w:val="single" w:color="CCCCCC" w:sz="1"/>
              <w:right w:val="single" w:color="CCCCCC" w:sz="1"/>
            </w:tcBorders>
            <w:shd w:fill="E8F5E9" w:val="clear"/>
            <w:tcMar>
              <w:top w:type="dxa" w:w="50"/>
              <w:left w:type="dxa" w:w="80"/>
              <w:bottom w:type="dxa" w:w="50"/>
              <w:right w:type="dxa" w:w="80"/>
            </w:tcMar>
            <w:vAlign w:val="center"/>
          </w:tcPr>
          <w:p>
            <w:pPr>
              <w:spacing w:after="0"/>
            </w:pPr>
            <w:r>
              <w:rPr>
                <w:rFonts w:ascii="Arial" w:cs="Arial" w:eastAsia="Arial" w:hAnsi="Arial"/>
                <w:b/>
                <w:bCs/>
                <w:color w:val="27AE60"/>
                <w:sz w:val="18"/>
                <w:szCs w:val="18"/>
              </w:rPr>
              <w:t xml:space="preserve">2 (LOW)</w:t>
            </w:r>
          </w:p>
        </w:tc>
      </w:tr>
    </w:tbl>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5. ADDITIONAL CONTROL MEASURES &amp; EMERGENCY PROCEDURES</w:t>
      </w:r>
    </w:p>
    <w:p>
      <w:pPr>
        <w:pStyle w:val="ListParagraph"/>
        <w:numPr>
          <w:ilvl w:val="0"/>
          <w:numId w:val="2"/>
        </w:numPr>
        <w:spacing w:after="40"/>
      </w:pPr>
      <w:r>
        <w:rPr>
          <w:rFonts w:ascii="Arial" w:cs="Arial" w:eastAsia="Arial" w:hAnsi="Arial"/>
          <w:color w:val="333333"/>
          <w:sz w:val="20"/>
          <w:szCs w:val="20"/>
        </w:rPr>
        <w:t xml:space="preserve">Ergonomic workstation assessment conducted for each surgery and reception desk annually; remedial actions documented and tracked.</w:t>
      </w:r>
    </w:p>
    <w:p>
      <w:pPr>
        <w:pStyle w:val="ListParagraph"/>
        <w:numPr>
          <w:ilvl w:val="0"/>
          <w:numId w:val="2"/>
        </w:numPr>
        <w:spacing w:after="40"/>
      </w:pPr>
      <w:r>
        <w:rPr>
          <w:rFonts w:ascii="Arial" w:cs="Arial" w:eastAsia="Arial" w:hAnsi="Arial"/>
          <w:color w:val="333333"/>
          <w:sz w:val="20"/>
          <w:szCs w:val="20"/>
        </w:rPr>
        <w:t xml:space="preserve">Magnification loupes provided for all clinical staff who request them; ergonomic benefit discussed at induction.</w:t>
      </w:r>
    </w:p>
    <w:p>
      <w:pPr>
        <w:pStyle w:val="ListParagraph"/>
        <w:numPr>
          <w:ilvl w:val="0"/>
          <w:numId w:val="2"/>
        </w:numPr>
        <w:spacing w:after="40"/>
      </w:pPr>
      <w:r>
        <w:rPr>
          <w:rFonts w:ascii="Arial" w:cs="Arial" w:eastAsia="Arial" w:hAnsi="Arial"/>
          <w:color w:val="333333"/>
          <w:sz w:val="20"/>
          <w:szCs w:val="20"/>
        </w:rPr>
        <w:t xml:space="preserve">Stretching and micro-break poster displayed in staff area and surgeries; team stretching session encouraged at start of each clinical session.</w:t>
      </w:r>
    </w:p>
    <w:p>
      <w:pPr>
        <w:pStyle w:val="ListParagraph"/>
        <w:numPr>
          <w:ilvl w:val="0"/>
          <w:numId w:val="2"/>
        </w:numPr>
        <w:spacing w:after="40"/>
      </w:pPr>
      <w:r>
        <w:rPr>
          <w:rFonts w:ascii="Arial" w:cs="Arial" w:eastAsia="Arial" w:hAnsi="Arial"/>
          <w:color w:val="333333"/>
          <w:sz w:val="20"/>
          <w:szCs w:val="20"/>
        </w:rPr>
        <w:t xml:space="preserve">Musculoskeletal injury reported via incident reporting system; staff offered occupational health referral for persistent symptoms; RIDDOR report if absence exceeds 7 days.</w:t>
      </w:r>
    </w:p>
    <w:p>
      <w:pPr>
        <w:pStyle w:val="ListParagraph"/>
        <w:numPr>
          <w:ilvl w:val="0"/>
          <w:numId w:val="2"/>
        </w:numPr>
        <w:spacing w:after="40"/>
      </w:pPr>
      <w:r>
        <w:rPr>
          <w:rFonts w:ascii="Arial" w:cs="Arial" w:eastAsia="Arial" w:hAnsi="Arial"/>
          <w:color w:val="333333"/>
          <w:sz w:val="20"/>
          <w:szCs w:val="20"/>
        </w:rPr>
        <w:t xml:space="preserve">Annual review of manual handling tasks: delivery of stock, movement of autoclave cassettes, waste bin handling; mechanical aids purchased where assessment indicates risk.</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6. MONITORING &amp; REVIEW</w:t>
      </w:r>
    </w:p>
    <w:p>
      <w:pPr>
        <w:spacing w:after="80"/>
      </w:pPr>
      <w:r>
        <w:rPr>
          <w:rFonts w:ascii="Arial" w:cs="Arial" w:eastAsia="Arial" w:hAnsi="Arial"/>
          <w:color w:val="333333"/>
          <w:sz w:val="20"/>
          <w:szCs w:val="20"/>
        </w:rPr>
        <w:t xml:space="preserve">This risk assessment shall be reviewed annually, or sooner if there is a significant change in working practices, an incident occurs, or new legislation/guidance is published. All staff must be made aware of the contents of this document and sign to confirm understanding.</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7. SIGN-OFF</w:t>
      </w:r>
    </w:p>
    <w:p>
      <w:pPr>
        <w:spacing w:after="80"/>
      </w:pPr>
      <w:r>
        <w:rPr>
          <w:rFonts w:ascii="Arial" w:cs="Arial" w:eastAsia="Arial" w:hAnsi="Arial"/>
          <w:color w:val="333333"/>
          <w:sz w:val="20"/>
          <w:szCs w:val="20"/>
        </w:rPr>
        <w:t xml:space="preserve">I confirm that this risk assessment has been carried out in accordance with relevant legislation and that the control measures identified are suitable and sufficient.</w:t>
      </w:r>
    </w:p>
    <w:p>
      <w:pPr>
        <w:spacing w:before="20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669"/>
        <w:gridCol w:w="3669"/>
        <w:gridCol w:w="3670"/>
        <w:gridCol w:w="3670"/>
      </w:tblGrid>
      <w:tr>
        <w:tc>
          <w:tcPr>
            <w:tcW w:type="dxa" w:w="3669"/>
            <w:tcBorders>
              <w:top w:val="none" w:sz="0"/>
              <w:left w:val="none" w:sz="0"/>
              <w:bottom w:val="single" w:color="0B1D3A" w:sz="1"/>
              <w:right w:val="none" w:sz="0"/>
            </w:tcBorders>
            <w:tcMar>
              <w:top w:type="dxa" w:w="40"/>
              <w:left w:type="dxa" w:w="80"/>
              <w:bottom w:type="dxa" w:w="40"/>
              <w:right w:type="dxa" w:w="80"/>
            </w:tcMar>
          </w:tcPr>
          <w:p>
            <w:pPr>
              <w:spacing w:after="40"/>
            </w:pPr>
            <w:r>
              <w:rPr>
                <w:rFonts w:ascii="Arial" w:cs="Arial" w:eastAsia="Arial" w:hAnsi="Arial"/>
                <w:b/>
                <w:bCs/>
                <w:color w:val="0B1D3A"/>
                <w:sz w:val="18"/>
                <w:szCs w:val="18"/>
              </w:rPr>
              <w:t xml:space="preserve">Assessed By:</w:t>
            </w:r>
          </w:p>
          <w:p>
            <w:pPr>
              <w:spacing w:after="0"/>
            </w:pPr>
            <w:r>
              <w:rPr>
                <w:rFonts w:ascii="Arial" w:cs="Arial" w:eastAsia="Arial" w:hAnsi="Arial"/>
                <w:i/>
                <w:iCs/>
                <w:color w:val="999999"/>
                <w:sz w:val="18"/>
                <w:szCs w:val="18"/>
              </w:rPr>
              <w:t xml:space="preserve">[Insert Name]</w:t>
            </w:r>
          </w:p>
        </w:tc>
        <w:tc>
          <w:tcPr>
            <w:tcW w:type="dxa" w:w="3669"/>
            <w:tcBorders>
              <w:top w:val="none" w:sz="0"/>
              <w:left w:val="none" w:sz="0"/>
              <w:bottom w:val="single" w:color="0B1D3A" w:sz="1"/>
              <w:right w:val="none" w:sz="0"/>
            </w:tcBorders>
            <w:tcMar>
              <w:top w:type="dxa" w:w="40"/>
              <w:left w:type="dxa" w:w="80"/>
              <w:bottom w:type="dxa" w:w="40"/>
              <w:right w:type="dxa" w:w="80"/>
            </w:tcMar>
          </w:tcPr>
          <w:p>
            <w:pPr>
              <w:spacing w:after="40"/>
            </w:pPr>
            <w:r>
              <w:rPr>
                <w:rFonts w:ascii="Arial" w:cs="Arial" w:eastAsia="Arial" w:hAnsi="Arial"/>
                <w:b/>
                <w:bCs/>
                <w:color w:val="0B1D3A"/>
                <w:sz w:val="18"/>
                <w:szCs w:val="18"/>
              </w:rPr>
              <w:t xml:space="preserve">Position:</w:t>
            </w:r>
          </w:p>
          <w:p>
            <w:pPr>
              <w:spacing w:after="0"/>
            </w:pPr>
            <w:r>
              <w:rPr>
                <w:rFonts w:ascii="Arial" w:cs="Arial" w:eastAsia="Arial" w:hAnsi="Arial"/>
                <w:i/>
                <w:iCs/>
                <w:color w:val="999999"/>
                <w:sz w:val="18"/>
                <w:szCs w:val="18"/>
              </w:rPr>
              <w:t xml:space="preserve">[Insert Name]</w:t>
            </w:r>
          </w:p>
        </w:tc>
        <w:tc>
          <w:tcPr>
            <w:tcW w:type="dxa" w:w="3670"/>
            <w:tcBorders>
              <w:top w:val="none" w:sz="0"/>
              <w:left w:val="none" w:sz="0"/>
              <w:bottom w:val="single" w:color="0B1D3A" w:sz="1"/>
              <w:right w:val="none" w:sz="0"/>
            </w:tcBorders>
            <w:tcMar>
              <w:top w:type="dxa" w:w="40"/>
              <w:left w:type="dxa" w:w="80"/>
              <w:bottom w:type="dxa" w:w="40"/>
              <w:right w:type="dxa" w:w="80"/>
            </w:tcMar>
          </w:tcPr>
          <w:p>
            <w:pPr>
              <w:spacing w:after="40"/>
            </w:pPr>
            <w:r>
              <w:rPr>
                <w:rFonts w:ascii="Arial" w:cs="Arial" w:eastAsia="Arial" w:hAnsi="Arial"/>
                <w:b/>
                <w:bCs/>
                <w:color w:val="0B1D3A"/>
                <w:sz w:val="18"/>
                <w:szCs w:val="18"/>
              </w:rPr>
              <w:t xml:space="preserve">Date:</w:t>
            </w:r>
          </w:p>
          <w:p>
            <w:pPr>
              <w:spacing w:after="0"/>
            </w:pPr>
            <w:r>
              <w:rPr>
                <w:rFonts w:ascii="Arial" w:cs="Arial" w:eastAsia="Arial" w:hAnsi="Arial"/>
                <w:i/>
                <w:iCs/>
                <w:color w:val="999999"/>
                <w:sz w:val="18"/>
                <w:szCs w:val="18"/>
              </w:rPr>
              <w:t xml:space="preserve">[Insert Name]</w:t>
            </w:r>
          </w:p>
        </w:tc>
        <w:tc>
          <w:tcPr>
            <w:tcW w:type="dxa" w:w="3670"/>
            <w:tcBorders>
              <w:top w:val="none" w:sz="0"/>
              <w:left w:val="none" w:sz="0"/>
              <w:bottom w:val="single" w:color="0B1D3A" w:sz="1"/>
              <w:right w:val="none" w:sz="0"/>
            </w:tcBorders>
            <w:tcMar>
              <w:top w:type="dxa" w:w="40"/>
              <w:left w:type="dxa" w:w="80"/>
              <w:bottom w:type="dxa" w:w="40"/>
              <w:right w:type="dxa" w:w="80"/>
            </w:tcMar>
          </w:tcPr>
          <w:p>
            <w:pPr>
              <w:spacing w:after="40"/>
            </w:pPr>
            <w:r>
              <w:rPr>
                <w:rFonts w:ascii="Arial" w:cs="Arial" w:eastAsia="Arial" w:hAnsi="Arial"/>
                <w:b/>
                <w:bCs/>
                <w:color w:val="0B1D3A"/>
                <w:sz w:val="18"/>
                <w:szCs w:val="18"/>
              </w:rPr>
              <w:t xml:space="preserve">Review Date:</w:t>
            </w:r>
          </w:p>
          <w:p>
            <w:pPr>
              <w:spacing w:after="0"/>
            </w:pPr>
            <w:r>
              <w:rPr>
                <w:rFonts w:ascii="Arial" w:cs="Arial" w:eastAsia="Arial" w:hAnsi="Arial"/>
                <w:i/>
                <w:iCs/>
                <w:color w:val="999999"/>
                <w:sz w:val="18"/>
                <w:szCs w:val="18"/>
              </w:rPr>
              <w:t xml:space="preserve">[Insert Name]</w:t>
            </w:r>
          </w:p>
        </w:tc>
      </w:tr>
    </w:tbl>
    <w:p>
      <w:pPr>
        <w:spacing w:before="300"/>
      </w:pPr>
    </w:p>
    <w:p>
      <w:pPr>
        <w:jc w:val="center"/>
      </w:pPr>
      <w:r>
        <w:rPr>
          <w:rFonts w:ascii="Arial" w:cs="Arial" w:eastAsia="Arial" w:hAnsi="Arial"/>
          <w:i/>
          <w:iCs/>
          <w:color w:val="999999"/>
          <w:sz w:val="16"/>
          <w:szCs w:val="16"/>
        </w:rPr>
        <w:t xml:space="preserve">© Barker Scott. All rights reserved. This document is confidential and intended for the sole use of the named dental practice.</w:t>
      </w:r>
    </w:p>
    <w:sectPr>
      <w:headerReference w:type="default" r:id="rId7"/>
      <w:footerReference w:type="default" r:id="rId8"/>
      <w:pgSz w:w="16838" w:h="11906"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4" w:space="1"/>
      </w:pBdr>
      <w:tabs>
        <w:tab w:val="right" w:pos="9026"/>
      </w:tabs>
      <w:spacing w:before="80"/>
    </w:pPr>
    <w:r>
      <w:rPr>
        <w:rFonts w:ascii="Arial" w:cs="Arial" w:eastAsia="Arial" w:hAnsi="Arial"/>
        <w:color w:val="0B1D3A"/>
        <w:sz w:val="16"/>
        <w:szCs w:val="16"/>
      </w:rPr>
      <w:t xml:space="preserve">Manual Handling &amp; Musculoskeletal Risks  |  barker-scott.co.uk  |  Confidential</w:t>
    </w:r>
    <w:r>
      <w:t xml:space="preserve">	</w:t>
    </w:r>
    <w:r>
      <w:rPr>
        <w:rFonts w:ascii="Arial" w:cs="Arial" w:eastAsia="Arial" w:hAnsi="Arial"/>
        <w:color w:val="0B1D3A"/>
        <w:sz w:val="16"/>
        <w:szCs w:val="16"/>
      </w:rPr>
      <w:t xml:space="preserve">Page </w:t>
    </w:r>
    <w:r>
      <w:rPr>
        <w:rFonts w:ascii="Arial" w:cs="Arial" w:eastAsia="Arial" w:hAnsi="Arial"/>
        <w:color w:val="0B1D3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left"/>
    </w:pPr>
    <w:r>
      <w:rPr>
        <w:rFonts w:ascii="Arial" w:cs="Arial" w:eastAsia="Arial" w:hAnsi="Arial"/>
        <w:b/>
        <w:bCs/>
        <w:color w:val="0B1D3A"/>
        <w:sz w:val="28"/>
        <w:szCs w:val="28"/>
      </w:rPr>
      <w:t xml:space="preserve">BARKER SCOTT</w:t>
    </w:r>
    <w:r>
      <w:rPr>
        <w:rFonts w:ascii="Arial" w:cs="Arial" w:eastAsia="Arial" w:hAnsi="Arial"/>
        <w:color w:val="D4AF37"/>
        <w:sz w:val="28"/>
        <w:szCs w:val="28"/>
      </w:rPr>
      <w:t xml:space="preserve">  |  </w:t>
    </w:r>
    <w:r>
      <w:rPr>
        <w:rFonts w:ascii="Arial" w:cs="Arial" w:eastAsia="Arial" w:hAnsi="Arial"/>
        <w:color w:val="0B1D3A"/>
        <w:sz w:val="22"/>
        <w:szCs w:val="22"/>
      </w:rPr>
      <w:t xml:space="preserve">Dental Practice Compliance</w:t>
    </w:r>
  </w:p>
  <w:p>
    <w:pPr>
      <w:pBdr>
        <w:bottom w:val="single" w:color="D4AF37" w:sz="6" w:space="1"/>
      </w:pBdr>
      <w:spacing w:after="10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B1D3A"/>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0B1D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2026-05-15T11:40:24.923Z</dcterms:created>
  <dcterms:modified xsi:type="dcterms:W3CDTF">2026-05-15T11:40:24.923Z</dcterms:modified>
</cp:coreProperties>
</file>

<file path=docProps/custom.xml><?xml version="1.0" encoding="utf-8"?>
<Properties xmlns="http://schemas.openxmlformats.org/officeDocument/2006/custom-properties" xmlns:vt="http://schemas.openxmlformats.org/officeDocument/2006/docPropsVTypes"/>
</file>