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0B1D3A"/>
          <w:sz w:val="36"/>
          <w:szCs w:val="36"/>
        </w:rPr>
        <w:t xml:space="preserve">RISK ASSESSMENT</w:t>
      </w:r>
    </w:p>
    <w:p>
      <w:pPr>
        <w:spacing w:after="100"/>
        <w:jc w:val="center"/>
      </w:pPr>
      <w:r>
        <w:rPr>
          <w:rFonts w:ascii="Arial" w:cs="Arial" w:eastAsia="Arial" w:hAnsi="Arial"/>
          <w:b/>
          <w:bCs/>
          <w:color w:val="D4AF37"/>
          <w:sz w:val="28"/>
          <w:szCs w:val="28"/>
        </w:rPr>
        <w:t xml:space="preserve">Safeguarding Vulnerable Patients (Adults &amp; Children)</w:t>
      </w:r>
    </w:p>
    <w:p>
      <w:pPr>
        <w:pBdr>
          <w:bottom w:val="single" w:color="D4AF37" w:sz="6" w:space="1"/>
        </w:pBdr>
        <w:spacing w:after="200" w:before="200"/>
      </w:pPr>
    </w:p>
    <w:p>
      <w:pPr>
        <w:spacing w:after="60"/>
      </w:pPr>
      <w:r>
        <w:rPr>
          <w:rFonts w:ascii="Arial" w:cs="Arial" w:eastAsia="Arial" w:hAnsi="Arial"/>
          <w:b/>
          <w:bCs/>
          <w:color w:val="0B1D3A"/>
          <w:sz w:val="20"/>
          <w:szCs w:val="20"/>
        </w:rPr>
        <w:t xml:space="preserve">Reference: </w:t>
      </w:r>
      <w:r>
        <w:rPr>
          <w:rFonts w:ascii="Arial" w:cs="Arial" w:eastAsia="Arial" w:hAnsi="Arial"/>
          <w:color w:val="333333"/>
          <w:sz w:val="20"/>
          <w:szCs w:val="20"/>
        </w:rPr>
        <w:t xml:space="preserve">BS-RA-DENT-008</w:t>
      </w:r>
    </w:p>
    <w:p>
      <w:pPr>
        <w:spacing w:after="60"/>
      </w:pPr>
      <w:r>
        <w:rPr>
          <w:rFonts w:ascii="Arial" w:cs="Arial" w:eastAsia="Arial" w:hAnsi="Arial"/>
          <w:b/>
          <w:bCs/>
          <w:color w:val="0B1D3A"/>
          <w:sz w:val="20"/>
          <w:szCs w:val="20"/>
        </w:rPr>
        <w:t xml:space="preserve">Assessment Date: </w:t>
      </w:r>
      <w:r>
        <w:rPr>
          <w:rFonts w:ascii="Arial" w:cs="Arial" w:eastAsia="Arial" w:hAnsi="Arial"/>
          <w:color w:val="333333"/>
          <w:sz w:val="20"/>
          <w:szCs w:val="20"/>
        </w:rPr>
        <w:t xml:space="preserve">[Insert Date]</w:t>
      </w:r>
    </w:p>
    <w:p>
      <w:pPr>
        <w:spacing w:after="60"/>
      </w:pPr>
      <w:r>
        <w:rPr>
          <w:rFonts w:ascii="Arial" w:cs="Arial" w:eastAsia="Arial" w:hAnsi="Arial"/>
          <w:b/>
          <w:bCs/>
          <w:color w:val="0B1D3A"/>
          <w:sz w:val="20"/>
          <w:szCs w:val="20"/>
        </w:rPr>
        <w:t xml:space="preserve">Assessor: </w:t>
      </w:r>
      <w:r>
        <w:rPr>
          <w:rFonts w:ascii="Arial" w:cs="Arial" w:eastAsia="Arial" w:hAnsi="Arial"/>
          <w:color w:val="333333"/>
          <w:sz w:val="20"/>
          <w:szCs w:val="20"/>
        </w:rPr>
        <w:t xml:space="preserve">[Insert Name]</w:t>
      </w:r>
    </w:p>
    <w:p>
      <w:pPr>
        <w:spacing w:after="60"/>
      </w:pPr>
      <w:r>
        <w:rPr>
          <w:rFonts w:ascii="Arial" w:cs="Arial" w:eastAsia="Arial" w:hAnsi="Arial"/>
          <w:b/>
          <w:bCs/>
          <w:color w:val="0B1D3A"/>
          <w:sz w:val="20"/>
          <w:szCs w:val="20"/>
        </w:rPr>
        <w:t xml:space="preserve">Practice: </w:t>
      </w:r>
      <w:r>
        <w:rPr>
          <w:rFonts w:ascii="Arial" w:cs="Arial" w:eastAsia="Arial" w:hAnsi="Arial"/>
          <w:color w:val="333333"/>
          <w:sz w:val="20"/>
          <w:szCs w:val="20"/>
        </w:rPr>
        <w:t xml:space="preserve">[Insert Practice Name &amp; Address]</w:t>
      </w:r>
    </w:p>
    <w:p>
      <w:pPr>
        <w:spacing w:after="60"/>
      </w:pPr>
      <w:r>
        <w:rPr>
          <w:rFonts w:ascii="Arial" w:cs="Arial" w:eastAsia="Arial" w:hAnsi="Arial"/>
          <w:b/>
          <w:bCs/>
          <w:color w:val="0B1D3A"/>
          <w:sz w:val="20"/>
          <w:szCs w:val="20"/>
        </w:rPr>
        <w:t xml:space="preserve">Review Frequency: </w:t>
      </w:r>
      <w:r>
        <w:rPr>
          <w:rFonts w:ascii="Arial" w:cs="Arial" w:eastAsia="Arial" w:hAnsi="Arial"/>
          <w:color w:val="333333"/>
          <w:sz w:val="20"/>
          <w:szCs w:val="20"/>
        </w:rPr>
        <w:t xml:space="preserve">Annual (or following any incident/significant change)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SCOPE &amp; PURPOSE</w:t>
      </w:r>
    </w:p>
    <w:p>
      <w:pPr>
        <w:spacing w:after="80"/>
      </w:pPr>
      <w:r>
        <w:rPr>
          <w:rFonts w:ascii="Arial" w:cs="Arial" w:eastAsia="Arial" w:hAnsi="Arial"/>
          <w:color w:val="333333"/>
          <w:sz w:val="20"/>
          <w:szCs w:val="20"/>
        </w:rPr>
        <w:t xml:space="preserve">This risk assessment covers the identification, management, and referral of safeguarding concerns for children and vulnerable adults attending the dental practice, including recognition of abuse, neglect, and domestic violence indicators, and compliance with statutory reporting duties.</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RELEVANT LEGISLATION &amp; GUIDANCE</w:t>
      </w:r>
    </w:p>
    <w:p>
      <w:pPr>
        <w:pStyle w:val="ListParagraph"/>
        <w:numPr>
          <w:ilvl w:val="0"/>
          <w:numId w:val="2"/>
        </w:numPr>
        <w:spacing w:after="40"/>
      </w:pPr>
      <w:r>
        <w:rPr>
          <w:rFonts w:ascii="Arial" w:cs="Arial" w:eastAsia="Arial" w:hAnsi="Arial"/>
          <w:color w:val="333333"/>
          <w:sz w:val="20"/>
          <w:szCs w:val="20"/>
        </w:rPr>
        <w:t xml:space="preserve">Children Act 1989 &amp; Children Act 2004 – duty to safeguard and promote welfare</w:t>
      </w:r>
    </w:p>
    <w:p>
      <w:pPr>
        <w:pStyle w:val="ListParagraph"/>
        <w:numPr>
          <w:ilvl w:val="0"/>
          <w:numId w:val="2"/>
        </w:numPr>
        <w:spacing w:after="40"/>
      </w:pPr>
      <w:r>
        <w:rPr>
          <w:rFonts w:ascii="Arial" w:cs="Arial" w:eastAsia="Arial" w:hAnsi="Arial"/>
          <w:color w:val="333333"/>
          <w:sz w:val="20"/>
          <w:szCs w:val="20"/>
        </w:rPr>
        <w:t xml:space="preserve">Care Act 2014 – duty regarding adults at risk of abuse or neglect</w:t>
      </w:r>
    </w:p>
    <w:p>
      <w:pPr>
        <w:pStyle w:val="ListParagraph"/>
        <w:numPr>
          <w:ilvl w:val="0"/>
          <w:numId w:val="2"/>
        </w:numPr>
        <w:spacing w:after="40"/>
      </w:pPr>
      <w:r>
        <w:rPr>
          <w:rFonts w:ascii="Arial" w:cs="Arial" w:eastAsia="Arial" w:hAnsi="Arial"/>
          <w:color w:val="333333"/>
          <w:sz w:val="20"/>
          <w:szCs w:val="20"/>
        </w:rPr>
        <w:t xml:space="preserve">Working Together to Safeguard Children (HM Government, 2023)</w:t>
      </w:r>
    </w:p>
    <w:p>
      <w:pPr>
        <w:pStyle w:val="ListParagraph"/>
        <w:numPr>
          <w:ilvl w:val="0"/>
          <w:numId w:val="2"/>
        </w:numPr>
        <w:spacing w:after="40"/>
      </w:pPr>
      <w:r>
        <w:rPr>
          <w:rFonts w:ascii="Arial" w:cs="Arial" w:eastAsia="Arial" w:hAnsi="Arial"/>
          <w:color w:val="333333"/>
          <w:sz w:val="20"/>
          <w:szCs w:val="20"/>
        </w:rPr>
        <w:t xml:space="preserve">Mental Capacity Act 2005 – consent and best interests decisions</w:t>
      </w:r>
    </w:p>
    <w:p>
      <w:pPr>
        <w:pStyle w:val="ListParagraph"/>
        <w:numPr>
          <w:ilvl w:val="0"/>
          <w:numId w:val="2"/>
        </w:numPr>
        <w:spacing w:after="40"/>
      </w:pPr>
      <w:r>
        <w:rPr>
          <w:rFonts w:ascii="Arial" w:cs="Arial" w:eastAsia="Arial" w:hAnsi="Arial"/>
          <w:color w:val="333333"/>
          <w:sz w:val="20"/>
          <w:szCs w:val="20"/>
        </w:rPr>
        <w:t xml:space="preserve">GDC Standards for the Dental Team (2013) – Standard 8 (Raising Concerns)</w:t>
      </w:r>
    </w:p>
    <w:p>
      <w:pPr>
        <w:pStyle w:val="ListParagraph"/>
        <w:numPr>
          <w:ilvl w:val="0"/>
          <w:numId w:val="2"/>
        </w:numPr>
        <w:spacing w:after="40"/>
      </w:pPr>
      <w:r>
        <w:rPr>
          <w:rFonts w:ascii="Arial" w:cs="Arial" w:eastAsia="Arial" w:hAnsi="Arial"/>
          <w:color w:val="333333"/>
          <w:sz w:val="20"/>
          <w:szCs w:val="20"/>
        </w:rPr>
        <w:t xml:space="preserve">CQC Fundamental Standards – Regulation 13 (Safeguarding Service Users from Abuse and Improper Treatment)</w:t>
      </w:r>
    </w:p>
    <w:p>
      <w:pPr>
        <w:pStyle w:val="ListParagraph"/>
        <w:numPr>
          <w:ilvl w:val="0"/>
          <w:numId w:val="2"/>
        </w:numPr>
        <w:spacing w:after="40"/>
      </w:pPr>
      <w:r>
        <w:rPr>
          <w:rFonts w:ascii="Arial" w:cs="Arial" w:eastAsia="Arial" w:hAnsi="Arial"/>
          <w:color w:val="333333"/>
          <w:sz w:val="20"/>
          <w:szCs w:val="20"/>
        </w:rPr>
        <w:t xml:space="preserve">Female Genital Mutilation Act 2003 (as amended by Serious Crime Act 2015) – mandatory reporting duty</w:t>
      </w:r>
    </w:p>
    <w:p>
      <w:pPr>
        <w:pStyle w:val="ListParagraph"/>
        <w:numPr>
          <w:ilvl w:val="0"/>
          <w:numId w:val="2"/>
        </w:numPr>
        <w:spacing w:after="40"/>
      </w:pPr>
      <w:r>
        <w:rPr>
          <w:rFonts w:ascii="Arial" w:cs="Arial" w:eastAsia="Arial" w:hAnsi="Arial"/>
          <w:color w:val="333333"/>
          <w:sz w:val="20"/>
          <w:szCs w:val="20"/>
        </w:rPr>
        <w:t xml:space="preserve">Modern Slavery Act 2015</w:t>
      </w:r>
    </w:p>
    <w:p>
      <w:pPr>
        <w:pStyle w:val="ListParagraph"/>
        <w:numPr>
          <w:ilvl w:val="0"/>
          <w:numId w:val="2"/>
        </w:numPr>
        <w:spacing w:after="40"/>
      </w:pPr>
      <w:r>
        <w:rPr>
          <w:rFonts w:ascii="Arial" w:cs="Arial" w:eastAsia="Arial" w:hAnsi="Arial"/>
          <w:color w:val="333333"/>
          <w:sz w:val="20"/>
          <w:szCs w:val="20"/>
        </w:rPr>
        <w:t xml:space="preserve">Domestic Abuse Act 2021</w:t>
      </w:r>
    </w:p>
    <w:p>
      <w:pPr>
        <w:pStyle w:val="ListParagraph"/>
        <w:numPr>
          <w:ilvl w:val="0"/>
          <w:numId w:val="2"/>
        </w:numPr>
        <w:spacing w:after="40"/>
      </w:pPr>
      <w:r>
        <w:rPr>
          <w:rFonts w:ascii="Arial" w:cs="Arial" w:eastAsia="Arial" w:hAnsi="Arial"/>
          <w:color w:val="333333"/>
          <w:sz w:val="20"/>
          <w:szCs w:val="20"/>
        </w:rPr>
        <w:t xml:space="preserve">Data Protection Act 2018 / UK GDPR – lawful basis for information sharing in safeguarding</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RISK RATING METHODOLOGY</w:t>
      </w:r>
    </w:p>
    <w:p>
      <w:pPr>
        <w:spacing w:after="80"/>
      </w:pPr>
      <w:r>
        <w:rPr>
          <w:rFonts w:ascii="Arial" w:cs="Arial" w:eastAsia="Arial" w:hAnsi="Arial"/>
          <w:color w:val="333333"/>
          <w:sz w:val="20"/>
          <w:szCs w:val="20"/>
        </w:rPr>
        <w:t xml:space="preserve">Risk Rating = Likelihood (L) × Severity (S). Likelihood: 1 (Rare) to 5 (Almost Certain). Severity: 1 (Negligible) to 5 (Catastrophic).</w:t>
      </w:r>
    </w:p>
    <w:p>
      <w:pPr>
        <w:spacing w:before="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3000"/>
      </w:tblGrid>
      <w:tr>
        <w:tc>
          <w:tcPr>
            <w:tcW w:type="dxa" w:w="2000"/>
            <w:tcBorders>
              <w:top w:val="single" w:color="CCCCCC" w:sz="1"/>
              <w:left w:val="single" w:color="CCCCCC" w:sz="1"/>
              <w:bottom w:val="single" w:color="CCCCCC" w:sz="1"/>
              <w:right w:val="single" w:color="CCCCCC" w:sz="1"/>
            </w:tcBorders>
            <w:shd w:fill="E8F5E9" w:val="clear"/>
            <w:tcMar>
              <w:top w:type="dxa" w:w="40"/>
              <w:left w:type="dxa" w:w="80"/>
              <w:bottom w:type="dxa" w:w="40"/>
              <w:right w:type="dxa" w:w="80"/>
            </w:tcMar>
          </w:tcPr>
          <w:p>
            <w:r>
              <w:rPr>
                <w:rFonts w:ascii="Arial" w:cs="Arial" w:eastAsia="Arial" w:hAnsi="Arial"/>
                <w:b/>
                <w:bCs/>
                <w:color w:val="27AE60"/>
                <w:sz w:val="18"/>
                <w:szCs w:val="18"/>
              </w:rPr>
              <w:t xml:space="preserve">1–3 (LOW)</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Acceptable risk, monitor</w:t>
            </w:r>
          </w:p>
        </w:tc>
        <w:tc>
          <w:tcPr>
            <w:tcW w:type="dxa" w:w="2000"/>
            <w:tcBorders>
              <w:top w:val="single" w:color="CCCCCC" w:sz="1"/>
              <w:left w:val="single" w:color="CCCCCC" w:sz="1"/>
              <w:bottom w:val="single" w:color="CCCCCC" w:sz="1"/>
              <w:right w:val="single" w:color="CCCCCC" w:sz="1"/>
            </w:tcBorders>
            <w:shd w:fill="FFF3E0" w:val="clear"/>
            <w:tcMar>
              <w:top w:type="dxa" w:w="40"/>
              <w:left w:type="dxa" w:w="80"/>
              <w:bottom w:type="dxa" w:w="40"/>
              <w:right w:type="dxa" w:w="80"/>
            </w:tcMar>
          </w:tcPr>
          <w:p>
            <w:r>
              <w:rPr>
                <w:rFonts w:ascii="Arial" w:cs="Arial" w:eastAsia="Arial" w:hAnsi="Arial"/>
                <w:b/>
                <w:bCs/>
                <w:color w:val="E67E22"/>
                <w:sz w:val="18"/>
                <w:szCs w:val="18"/>
              </w:rPr>
              <w:t xml:space="preserve">8–12 (MEDIUM)</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Reduce risk where practicable</w:t>
            </w:r>
          </w:p>
        </w:tc>
      </w:tr>
      <w:tr>
        <w:tc>
          <w:tcPr>
            <w:tcW w:type="dxa" w:w="2000"/>
            <w:tcBorders>
              <w:top w:val="single" w:color="CCCCCC" w:sz="1"/>
              <w:left w:val="single" w:color="CCCCCC" w:sz="1"/>
              <w:bottom w:val="single" w:color="CCCCCC" w:sz="1"/>
              <w:right w:val="single" w:color="CCCCCC" w:sz="1"/>
            </w:tcBorders>
            <w:shd w:fill="FFFDE7" w:val="clear"/>
            <w:tcMar>
              <w:top w:type="dxa" w:w="40"/>
              <w:left w:type="dxa" w:w="80"/>
              <w:bottom w:type="dxa" w:w="40"/>
              <w:right w:type="dxa" w:w="80"/>
            </w:tcMar>
          </w:tcPr>
          <w:p>
            <w:r>
              <w:rPr>
                <w:rFonts w:ascii="Arial" w:cs="Arial" w:eastAsia="Arial" w:hAnsi="Arial"/>
                <w:b/>
                <w:bCs/>
                <w:color w:val="F1C40F"/>
                <w:sz w:val="18"/>
                <w:szCs w:val="18"/>
              </w:rPr>
              <w:t xml:space="preserve">4–6 (LOW-MED)</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Monitor, review controls</w:t>
            </w:r>
          </w:p>
        </w:tc>
        <w:tc>
          <w:tcPr>
            <w:tcW w:type="dxa" w:w="2000"/>
            <w:tcBorders>
              <w:top w:val="single" w:color="CCCCCC" w:sz="1"/>
              <w:left w:val="single" w:color="CCCCCC" w:sz="1"/>
              <w:bottom w:val="single" w:color="CCCCCC" w:sz="1"/>
              <w:right w:val="single" w:color="CCCCCC" w:sz="1"/>
            </w:tcBorders>
            <w:shd w:fill="FDEDED" w:val="clear"/>
            <w:tcMar>
              <w:top w:type="dxa" w:w="40"/>
              <w:left w:type="dxa" w:w="80"/>
              <w:bottom w:type="dxa" w:w="40"/>
              <w:right w:type="dxa" w:w="80"/>
            </w:tcMar>
          </w:tcPr>
          <w:p>
            <w:r>
              <w:rPr>
                <w:rFonts w:ascii="Arial" w:cs="Arial" w:eastAsia="Arial" w:hAnsi="Arial"/>
                <w:b/>
                <w:bCs/>
                <w:color w:val="C0392B"/>
                <w:sz w:val="18"/>
                <w:szCs w:val="18"/>
              </w:rPr>
              <w:t xml:space="preserve">15–25 (HIGH)</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color w:val="333333"/>
                <w:sz w:val="18"/>
                <w:szCs w:val="18"/>
              </w:rPr>
              <w:t xml:space="preserve">Immediate action required</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RISK ASSESSMENT TABLE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700"/>
        <w:gridCol w:w="700"/>
        <w:gridCol w:w="1000"/>
        <w:gridCol w:w="3878"/>
        <w:gridCol w:w="700"/>
        <w:gridCol w:w="700"/>
        <w:gridCol w:w="1800"/>
      </w:tblGrid>
      <w:tr>
        <w:tc>
          <w:tcPr>
            <w:tcW w:type="dxa" w:w="22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Hazard</w:t>
            </w:r>
          </w:p>
        </w:tc>
        <w:tc>
          <w:tcPr>
            <w:tcW w:type="dxa" w:w="18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Risk</w:t>
            </w:r>
          </w:p>
        </w:tc>
        <w:tc>
          <w:tcPr>
            <w:tcW w:type="dxa" w:w="12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Who at Risk</w:t>
            </w:r>
          </w:p>
        </w:tc>
        <w:tc>
          <w:tcPr>
            <w:tcW w:type="dxa" w:w="7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L</w:t>
            </w:r>
          </w:p>
        </w:tc>
        <w:tc>
          <w:tcPr>
            <w:tcW w:type="dxa" w:w="7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w:t>
            </w:r>
          </w:p>
        </w:tc>
        <w:tc>
          <w:tcPr>
            <w:tcW w:type="dxa" w:w="10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Rating</w:t>
            </w:r>
          </w:p>
        </w:tc>
        <w:tc>
          <w:tcPr>
            <w:tcW w:type="dxa" w:w="3878"/>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Control Measures</w:t>
            </w:r>
          </w:p>
        </w:tc>
        <w:tc>
          <w:tcPr>
            <w:tcW w:type="dxa" w:w="7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L</w:t>
            </w:r>
          </w:p>
        </w:tc>
        <w:tc>
          <w:tcPr>
            <w:tcW w:type="dxa" w:w="7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w:t>
            </w:r>
          </w:p>
        </w:tc>
        <w:tc>
          <w:tcPr>
            <w:tcW w:type="dxa" w:w="1800"/>
            <w:tcBorders>
              <w:top w:val="single" w:color="D4AF37" w:sz="1"/>
              <w:left w:val="single" w:color="D4AF37" w:sz="1"/>
              <w:bottom w:val="single" w:color="D4AF37" w:sz="1"/>
              <w:right w:val="single" w:color="D4AF37"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Residual</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Failure to recognise signs of child abuse/neglect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Continued harm to child, safeguarding failure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Child patient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5</w:t>
            </w:r>
          </w:p>
        </w:tc>
        <w:tc>
          <w:tcPr>
            <w:tcW w:type="dxa" w:w="1000"/>
            <w:tcBorders>
              <w:top w:val="single" w:color="CCCCCC" w:sz="1"/>
              <w:left w:val="single" w:color="CCCCCC" w:sz="1"/>
              <w:bottom w:val="single" w:color="CCCCCC" w:sz="1"/>
              <w:right w:val="single" w:color="CCCCCC" w:sz="1"/>
            </w:tcBorders>
            <w:shd w:fill="FDEDED" w:val="clear"/>
            <w:tcMar>
              <w:top w:type="dxa" w:w="50"/>
              <w:left w:type="dxa" w:w="80"/>
              <w:bottom w:type="dxa" w:w="50"/>
              <w:right w:type="dxa" w:w="80"/>
            </w:tcMar>
            <w:vAlign w:val="center"/>
          </w:tcPr>
          <w:p>
            <w:pPr>
              <w:spacing w:after="0"/>
            </w:pPr>
            <w:r>
              <w:rPr>
                <w:rFonts w:ascii="Arial" w:cs="Arial" w:eastAsia="Arial" w:hAnsi="Arial"/>
                <w:b/>
                <w:bCs/>
                <w:color w:val="C0392B"/>
                <w:sz w:val="18"/>
                <w:szCs w:val="18"/>
              </w:rPr>
              <w:t xml:space="preserve">15 (HIGH)</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Safeguarding lead appointed (Level 3 trained); all staff complete Level 1/2 safeguarding children training at induction and 3-yearly updates; recognition of oral indicators (bruising, dental neglect, bite marks, torn frenulum); referral pathway displayed</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18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vAlign w:val="center"/>
          </w:tcPr>
          <w:p>
            <w:pPr>
              <w:spacing w:after="0"/>
            </w:pPr>
            <w:r>
              <w:rPr>
                <w:rFonts w:ascii="Arial" w:cs="Arial" w:eastAsia="Arial" w:hAnsi="Arial"/>
                <w:b/>
                <w:bCs/>
                <w:color w:val="F1C40F"/>
                <w:sz w:val="18"/>
                <w:szCs w:val="18"/>
              </w:rPr>
              <w:t xml:space="preserve">4 (LOW-MED)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Failure to recognise adult abuse/neglect</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Continued harm/exploitation of vulnerable adult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Vulnerable adult patient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5</w:t>
            </w:r>
          </w:p>
        </w:tc>
        <w:tc>
          <w:tcPr>
            <w:tcW w:type="dxa" w:w="1000"/>
            <w:tcBorders>
              <w:top w:val="single" w:color="CCCCCC" w:sz="1"/>
              <w:left w:val="single" w:color="CCCCCC" w:sz="1"/>
              <w:bottom w:val="single" w:color="CCCCCC" w:sz="1"/>
              <w:right w:val="single" w:color="CCCCCC" w:sz="1"/>
            </w:tcBorders>
            <w:shd w:fill="FDEDED" w:val="clear"/>
            <w:tcMar>
              <w:top w:type="dxa" w:w="50"/>
              <w:left w:type="dxa" w:w="80"/>
              <w:bottom w:type="dxa" w:w="50"/>
              <w:right w:type="dxa" w:w="80"/>
            </w:tcMar>
            <w:vAlign w:val="center"/>
          </w:tcPr>
          <w:p>
            <w:pPr>
              <w:spacing w:after="0"/>
            </w:pPr>
            <w:r>
              <w:rPr>
                <w:rFonts w:ascii="Arial" w:cs="Arial" w:eastAsia="Arial" w:hAnsi="Arial"/>
                <w:b/>
                <w:bCs/>
                <w:color w:val="C0392B"/>
                <w:sz w:val="18"/>
                <w:szCs w:val="18"/>
              </w:rPr>
              <w:t xml:space="preserve">15 (HIGH)</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All staff trained in adult safeguarding awareness; indicators checklist (unexplained injuries, self-neglect, coercion signs, financial exploitation); referral to Local Authority Adult Social Care; Mental Capacity Act 2005 applied to consent decisions</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18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vAlign w:val="center"/>
          </w:tcPr>
          <w:p>
            <w:pPr>
              <w:spacing w:after="0"/>
            </w:pPr>
            <w:r>
              <w:rPr>
                <w:rFonts w:ascii="Arial" w:cs="Arial" w:eastAsia="Arial" w:hAnsi="Arial"/>
                <w:b/>
                <w:bCs/>
                <w:color w:val="F1C40F"/>
                <w:sz w:val="18"/>
                <w:szCs w:val="18"/>
              </w:rPr>
              <w:t xml:space="preserve">4 (LOW-MED)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Dental neglect in children (missed identification)</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Preventable pain, infection, developmental harm</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Child patient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12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Dental neglect assessment using recognised framework (e.g. Harris &amp; Sidebotham); repeated missed appointments flagged; communication with health visitor/school nurse; referral to social services where threshold met; documentation in clinical record</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1800"/>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0"/>
            </w:pPr>
            <w:r>
              <w:rPr>
                <w:rFonts w:ascii="Arial" w:cs="Arial" w:eastAsia="Arial" w:hAnsi="Arial"/>
                <w:b/>
                <w:bCs/>
                <w:color w:val="27AE60"/>
                <w:sz w:val="18"/>
                <w:szCs w:val="18"/>
              </w:rPr>
              <w:t xml:space="preserve">3 (LOW)</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FGM identification failure (mandatory reporting duty)</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Failure to meet statutory duty, continued harm</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Female patient &lt;18</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5</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10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All staff aware of FGM mandatory reporting duty under Serious Crime Act 2015; oral/perioral indicators training; referral protocol to police (via 101) within one working day if FGM identified in under-18; safeguarding lead consulted</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18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vAlign w:val="center"/>
          </w:tcPr>
          <w:p>
            <w:pPr>
              <w:spacing w:after="0"/>
            </w:pPr>
            <w:r>
              <w:rPr>
                <w:rFonts w:ascii="Arial" w:cs="Arial" w:eastAsia="Arial" w:hAnsi="Arial"/>
                <w:b/>
                <w:bCs/>
                <w:color w:val="F1C40F"/>
                <w:sz w:val="18"/>
                <w:szCs w:val="18"/>
              </w:rPr>
              <w:t xml:space="preserve">4 (LOW-MED)</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Inappropriate information sharing/breach of confidentiality</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Breach of UK GDPR, patient harm, loss of trust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Patient/Practice</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2</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1000"/>
            <w:tcBorders>
              <w:top w:val="single" w:color="CCCCCC" w:sz="1"/>
              <w:left w:val="single" w:color="CCCCCC" w:sz="1"/>
              <w:bottom w:val="single" w:color="CCCCCC" w:sz="1"/>
              <w:right w:val="single" w:color="CCCCCC" w:sz="1"/>
            </w:tcBorders>
            <w:shd w:fill="FFF3E0" w:val="clear"/>
            <w:tcMar>
              <w:top w:type="dxa" w:w="50"/>
              <w:left w:type="dxa" w:w="80"/>
              <w:bottom w:type="dxa" w:w="50"/>
              <w:right w:type="dxa" w:w="80"/>
            </w:tcMar>
            <w:vAlign w:val="center"/>
          </w:tcPr>
          <w:p>
            <w:pPr>
              <w:spacing w:after="0"/>
            </w:pPr>
            <w:r>
              <w:rPr>
                <w:rFonts w:ascii="Arial" w:cs="Arial" w:eastAsia="Arial" w:hAnsi="Arial"/>
                <w:b/>
                <w:bCs/>
                <w:color w:val="E67E22"/>
                <w:sz w:val="18"/>
                <w:szCs w:val="18"/>
              </w:rPr>
              <w:t xml:space="preserve">8 (MEDIUM)</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Information sharing guided by Data Protection Act 2018 and Caldicott principles; lawful basis for safeguarding disclosures documented; need-to-know basis; advice sought from Local Authority Designated Officer (LADO) or safeguarding lead before disclosure</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3</w:t>
            </w:r>
          </w:p>
        </w:tc>
        <w:tc>
          <w:tcPr>
            <w:tcW w:type="dxa" w:w="1800"/>
            <w:tcBorders>
              <w:top w:val="single" w:color="CCCCCC" w:sz="1"/>
              <w:left w:val="single" w:color="CCCCCC" w:sz="1"/>
              <w:bottom w:val="single" w:color="CCCCCC" w:sz="1"/>
              <w:right w:val="single" w:color="CCCCCC" w:sz="1"/>
            </w:tcBorders>
            <w:shd w:fill="E8F5E9" w:val="clear"/>
            <w:tcMar>
              <w:top w:type="dxa" w:w="50"/>
              <w:left w:type="dxa" w:w="80"/>
              <w:bottom w:type="dxa" w:w="50"/>
              <w:right w:type="dxa" w:w="80"/>
            </w:tcMar>
            <w:vAlign w:val="center"/>
          </w:tcPr>
          <w:p>
            <w:pPr>
              <w:spacing w:after="0"/>
            </w:pPr>
            <w:r>
              <w:rPr>
                <w:rFonts w:ascii="Arial" w:cs="Arial" w:eastAsia="Arial" w:hAnsi="Arial"/>
                <w:b/>
                <w:bCs/>
                <w:color w:val="27AE60"/>
                <w:sz w:val="18"/>
                <w:szCs w:val="18"/>
              </w:rPr>
              <w:t xml:space="preserve">3 (LOW)</w:t>
            </w:r>
          </w:p>
        </w:tc>
      </w:tr>
      <w:tr>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Staff allegation (abuse by staff member)</w:t>
            </w:r>
          </w:p>
        </w:tc>
        <w:tc>
          <w:tcPr>
            <w:tcW w:type="dxa" w:w="18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Harm to patient, regulatory action, criminal liability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Patient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5</w:t>
            </w:r>
          </w:p>
        </w:tc>
        <w:tc>
          <w:tcPr>
            <w:tcW w:type="dxa" w:w="10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vAlign w:val="center"/>
          </w:tcPr>
          <w:p>
            <w:pPr>
              <w:spacing w:after="0"/>
            </w:pPr>
            <w:r>
              <w:rPr>
                <w:rFonts w:ascii="Arial" w:cs="Arial" w:eastAsia="Arial" w:hAnsi="Arial"/>
                <w:b/>
                <w:bCs/>
                <w:color w:val="F1C40F"/>
                <w:sz w:val="18"/>
                <w:szCs w:val="18"/>
              </w:rPr>
              <w:t xml:space="preserve">5 (LOW-MED)</w:t>
            </w:r>
          </w:p>
        </w:tc>
        <w:tc>
          <w:tcPr>
            <w:tcW w:type="dxa" w:w="3878"/>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val="false"/>
                <w:bCs w:val="false"/>
                <w:color w:val="333333"/>
                <w:sz w:val="18"/>
                <w:szCs w:val="18"/>
              </w:rPr>
              <w:t xml:space="preserve">Robust recruitment (DBS checks for all patient-facing staff per CQC requirements); chaperoning policy; lone working policy; allegation management procedure with referral to LADO; staff code of conduct; whistleblowing policy</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1</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0"/>
            </w:pPr>
            <w:r>
              <w:rPr>
                <w:rFonts w:ascii="Arial" w:cs="Arial" w:eastAsia="Arial" w:hAnsi="Arial"/>
                <w:b/>
                <w:bCs/>
                <w:color w:val="0B1D3A"/>
                <w:sz w:val="18"/>
                <w:szCs w:val="18"/>
              </w:rPr>
              <w:t xml:space="preserve">4</w:t>
            </w:r>
          </w:p>
        </w:tc>
        <w:tc>
          <w:tcPr>
            <w:tcW w:type="dxa" w:w="1800"/>
            <w:tcBorders>
              <w:top w:val="single" w:color="CCCCCC" w:sz="1"/>
              <w:left w:val="single" w:color="CCCCCC" w:sz="1"/>
              <w:bottom w:val="single" w:color="CCCCCC" w:sz="1"/>
              <w:right w:val="single" w:color="CCCCCC" w:sz="1"/>
            </w:tcBorders>
            <w:shd w:fill="FFFDE7" w:val="clear"/>
            <w:tcMar>
              <w:top w:type="dxa" w:w="50"/>
              <w:left w:type="dxa" w:w="80"/>
              <w:bottom w:type="dxa" w:w="50"/>
              <w:right w:type="dxa" w:w="80"/>
            </w:tcMar>
            <w:vAlign w:val="center"/>
          </w:tcPr>
          <w:p>
            <w:pPr>
              <w:spacing w:after="0"/>
            </w:pPr>
            <w:r>
              <w:rPr>
                <w:rFonts w:ascii="Arial" w:cs="Arial" w:eastAsia="Arial" w:hAnsi="Arial"/>
                <w:b/>
                <w:bCs/>
                <w:color w:val="F1C40F"/>
                <w:sz w:val="18"/>
                <w:szCs w:val="18"/>
              </w:rPr>
              <w:t xml:space="preserve">4 (LOW-MED)</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ADDITIONAL CONTROL MEASURES &amp; EMERGENCY PROCEDURES</w:t>
      </w:r>
    </w:p>
    <w:p>
      <w:pPr>
        <w:pStyle w:val="ListParagraph"/>
        <w:numPr>
          <w:ilvl w:val="0"/>
          <w:numId w:val="2"/>
        </w:numPr>
        <w:spacing w:after="40"/>
      </w:pPr>
      <w:r>
        <w:rPr>
          <w:rFonts w:ascii="Arial" w:cs="Arial" w:eastAsia="Arial" w:hAnsi="Arial"/>
          <w:color w:val="333333"/>
          <w:sz w:val="20"/>
          <w:szCs w:val="20"/>
        </w:rPr>
        <w:t xml:space="preserve">Named Safeguarding Lead: [Insert Name] – Level 3 trained in both child and adult safeguarding; deputy safeguarding lead also designated.</w:t>
      </w:r>
    </w:p>
    <w:p>
      <w:pPr>
        <w:pStyle w:val="ListParagraph"/>
        <w:numPr>
          <w:ilvl w:val="0"/>
          <w:numId w:val="2"/>
        </w:numPr>
        <w:spacing w:after="40"/>
      </w:pPr>
      <w:r>
        <w:rPr>
          <w:rFonts w:ascii="Arial" w:cs="Arial" w:eastAsia="Arial" w:hAnsi="Arial"/>
          <w:color w:val="333333"/>
          <w:sz w:val="20"/>
          <w:szCs w:val="20"/>
        </w:rPr>
        <w:t xml:space="preserve">Local Safeguarding Children Partnership (LSCP) and Local Safeguarding Adults Board (LSAB) contact details displayed in staff area and each surgery.</w:t>
      </w:r>
    </w:p>
    <w:p>
      <w:pPr>
        <w:pStyle w:val="ListParagraph"/>
        <w:numPr>
          <w:ilvl w:val="0"/>
          <w:numId w:val="2"/>
        </w:numPr>
        <w:spacing w:after="40"/>
      </w:pPr>
      <w:r>
        <w:rPr>
          <w:rFonts w:ascii="Arial" w:cs="Arial" w:eastAsia="Arial" w:hAnsi="Arial"/>
          <w:color w:val="333333"/>
          <w:sz w:val="20"/>
          <w:szCs w:val="20"/>
        </w:rPr>
        <w:t xml:space="preserve">Safeguarding concerns recording template held in practice management system; chronology maintained for ongoing cases.</w:t>
      </w:r>
    </w:p>
    <w:p>
      <w:pPr>
        <w:pStyle w:val="ListParagraph"/>
        <w:numPr>
          <w:ilvl w:val="0"/>
          <w:numId w:val="2"/>
        </w:numPr>
        <w:spacing w:after="40"/>
      </w:pPr>
      <w:r>
        <w:rPr>
          <w:rFonts w:ascii="Arial" w:cs="Arial" w:eastAsia="Arial" w:hAnsi="Arial"/>
          <w:color w:val="333333"/>
          <w:sz w:val="20"/>
          <w:szCs w:val="20"/>
        </w:rPr>
        <w:t xml:space="preserve">Annual safeguarding audit: training compliance, referral numbers, case outcomes, DBS renewal status.</w:t>
      </w:r>
    </w:p>
    <w:p>
      <w:pPr>
        <w:pStyle w:val="ListParagraph"/>
        <w:numPr>
          <w:ilvl w:val="0"/>
          <w:numId w:val="2"/>
        </w:numPr>
        <w:spacing w:after="40"/>
      </w:pPr>
      <w:r>
        <w:rPr>
          <w:rFonts w:ascii="Arial" w:cs="Arial" w:eastAsia="Arial" w:hAnsi="Arial"/>
          <w:color w:val="333333"/>
          <w:sz w:val="20"/>
          <w:szCs w:val="20"/>
        </w:rPr>
        <w:t xml:space="preserve">Whistleblowing (raising concerns) policy in place per Public Interest Disclosure Act 1998; all staff aware of external reporting routes (CQC, GDC, police).</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MONITORING &amp; REVIEW</w:t>
      </w:r>
    </w:p>
    <w:p>
      <w:pPr>
        <w:spacing w:after="80"/>
      </w:pPr>
      <w:r>
        <w:rPr>
          <w:rFonts w:ascii="Arial" w:cs="Arial" w:eastAsia="Arial" w:hAnsi="Arial"/>
          <w:color w:val="333333"/>
          <w:sz w:val="20"/>
          <w:szCs w:val="20"/>
        </w:rPr>
        <w:t xml:space="preserve">This risk assessment shall be reviewed annually, or sooner if there is a significant change in working practices, an incident occurs, or new legislation/guidance is published. All staff must be made aware of the contents of this document and sign to confirm understanding.</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SIGN-OFF</w:t>
      </w:r>
    </w:p>
    <w:p>
      <w:pPr>
        <w:spacing w:after="80"/>
      </w:pPr>
      <w:r>
        <w:rPr>
          <w:rFonts w:ascii="Arial" w:cs="Arial" w:eastAsia="Arial" w:hAnsi="Arial"/>
          <w:color w:val="333333"/>
          <w:sz w:val="20"/>
          <w:szCs w:val="20"/>
        </w:rPr>
        <w:t xml:space="preserve">I confirm that this risk assessment has been carried out in accordance with relevant legislation and that the control measures identified are suitable and sufficient.</w:t>
      </w:r>
    </w:p>
    <w:p>
      <w:pPr>
        <w:spacing w:before="2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69"/>
        <w:gridCol w:w="3670"/>
        <w:gridCol w:w="3670"/>
      </w:tblGrid>
      <w:tr>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Assessed By:</w:t>
            </w:r>
          </w:p>
          <w:p>
            <w:pPr>
              <w:spacing w:after="0"/>
            </w:pPr>
            <w:r>
              <w:rPr>
                <w:rFonts w:ascii="Arial" w:cs="Arial" w:eastAsia="Arial" w:hAnsi="Arial"/>
                <w:i/>
                <w:iCs/>
                <w:color w:val="999999"/>
                <w:sz w:val="18"/>
                <w:szCs w:val="18"/>
              </w:rPr>
              <w:t xml:space="preserve">[Insert Name]</w:t>
            </w:r>
          </w:p>
        </w:tc>
        <w:tc>
          <w:tcPr>
            <w:tcW w:type="dxa" w:w="3669"/>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Position:</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Date:</w:t>
            </w:r>
          </w:p>
          <w:p>
            <w:pPr>
              <w:spacing w:after="0"/>
            </w:pPr>
            <w:r>
              <w:rPr>
                <w:rFonts w:ascii="Arial" w:cs="Arial" w:eastAsia="Arial" w:hAnsi="Arial"/>
                <w:i/>
                <w:iCs/>
                <w:color w:val="999999"/>
                <w:sz w:val="18"/>
                <w:szCs w:val="18"/>
              </w:rPr>
              <w:t xml:space="preserve">[Insert Name]</w:t>
            </w:r>
          </w:p>
        </w:tc>
        <w:tc>
          <w:tcPr>
            <w:tcW w:type="dxa" w:w="3670"/>
            <w:tcBorders>
              <w:top w:val="none" w:sz="0"/>
              <w:left w:val="none" w:sz="0"/>
              <w:bottom w:val="single" w:color="0B1D3A" w:sz="1"/>
              <w:right w:val="none" w:sz="0"/>
            </w:tcBorders>
            <w:tcMar>
              <w:top w:type="dxa" w:w="40"/>
              <w:left w:type="dxa" w:w="80"/>
              <w:bottom w:type="dxa" w:w="40"/>
              <w:right w:type="dxa" w:w="80"/>
            </w:tcMar>
          </w:tcPr>
          <w:p>
            <w:pPr>
              <w:spacing w:after="40"/>
            </w:pPr>
            <w:r>
              <w:rPr>
                <w:rFonts w:ascii="Arial" w:cs="Arial" w:eastAsia="Arial" w:hAnsi="Arial"/>
                <w:b/>
                <w:bCs/>
                <w:color w:val="0B1D3A"/>
                <w:sz w:val="18"/>
                <w:szCs w:val="18"/>
              </w:rPr>
              <w:t xml:space="preserve">Review Date:</w:t>
            </w:r>
          </w:p>
          <w:p>
            <w:pPr>
              <w:spacing w:after="0"/>
            </w:pPr>
            <w:r>
              <w:rPr>
                <w:rFonts w:ascii="Arial" w:cs="Arial" w:eastAsia="Arial" w:hAnsi="Arial"/>
                <w:i/>
                <w:iCs/>
                <w:color w:val="999999"/>
                <w:sz w:val="18"/>
                <w:szCs w:val="18"/>
              </w:rPr>
              <w:t xml:space="preserve">[Insert Name]</w:t>
            </w:r>
          </w:p>
        </w:tc>
      </w:tr>
    </w:tbl>
    <w:p>
      <w:pPr>
        <w:spacing w:before="300"/>
      </w:pPr>
    </w:p>
    <w:p>
      <w:pPr>
        <w:jc w:val="center"/>
      </w:pPr>
      <w:r>
        <w:rPr>
          <w:rFonts w:ascii="Arial" w:cs="Arial" w:eastAsia="Arial" w:hAnsi="Arial"/>
          <w:i/>
          <w:iCs/>
          <w:color w:val="999999"/>
          <w:sz w:val="16"/>
          <w:szCs w:val="16"/>
        </w:rPr>
        <w:t xml:space="preserve">© Barker Scott. All rights reserved. This document is confidential and intended for the sole use of the named dental practice.</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9026"/>
      </w:tabs>
      <w:spacing w:before="80"/>
    </w:pPr>
    <w:r>
      <w:rPr>
        <w:rFonts w:ascii="Arial" w:cs="Arial" w:eastAsia="Arial" w:hAnsi="Arial"/>
        <w:color w:val="0B1D3A"/>
        <w:sz w:val="16"/>
        <w:szCs w:val="16"/>
      </w:rPr>
      <w:t xml:space="preserve">Safeguarding Vulnerable Patients (Adults &amp; Children)  |  barker-scott.co.uk  |  Confidential</w:t>
    </w:r>
    <w:r>
      <w:t xml:space="preserve">	</w:t>
    </w:r>
    <w:r>
      <w:rPr>
        <w:rFonts w:ascii="Arial" w:cs="Arial" w:eastAsia="Arial" w:hAnsi="Arial"/>
        <w:color w:val="0B1D3A"/>
        <w:sz w:val="16"/>
        <w:szCs w:val="16"/>
      </w:rPr>
      <w:t xml:space="preserve">Page </w:t>
    </w:r>
    <w:r>
      <w:rPr>
        <w:rFonts w:ascii="Arial" w:cs="Arial" w:eastAsia="Arial" w:hAnsi="Arial"/>
        <w:color w:val="0B1D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left"/>
    </w:pPr>
    <w:r>
      <w:rPr>
        <w:rFonts w:ascii="Arial" w:cs="Arial" w:eastAsia="Arial" w:hAnsi="Arial"/>
        <w:b/>
        <w:bCs/>
        <w:color w:val="0B1D3A"/>
        <w:sz w:val="28"/>
        <w:szCs w:val="28"/>
      </w:rPr>
      <w:t xml:space="preserve">BARKER SCOTT</w:t>
    </w:r>
    <w:r>
      <w:rPr>
        <w:rFonts w:ascii="Arial" w:cs="Arial" w:eastAsia="Arial" w:hAnsi="Arial"/>
        <w:color w:val="D4AF37"/>
        <w:sz w:val="28"/>
        <w:szCs w:val="28"/>
      </w:rPr>
      <w:t xml:space="preserve">  |  </w:t>
    </w:r>
    <w:r>
      <w:rPr>
        <w:rFonts w:ascii="Arial" w:cs="Arial" w:eastAsia="Arial" w:hAnsi="Arial"/>
        <w:color w:val="0B1D3A"/>
        <w:sz w:val="22"/>
        <w:szCs w:val="22"/>
      </w:rPr>
      <w:t xml:space="preserve">Dental Practice Compliance</w:t>
    </w:r>
  </w:p>
  <w:p>
    <w:pPr>
      <w:pBdr>
        <w:bottom w:val="single" w:color="D4AF37" w:sz="6" w:space="1"/>
      </w:pBdr>
      <w:spacing w:after="10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0B1D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2026-05-15T11:40:24.821Z</dcterms:created>
  <dcterms:modified xsi:type="dcterms:W3CDTF">2026-05-15T11:40:24.821Z</dcterms:modified>
</cp:coreProperties>
</file>

<file path=docProps/custom.xml><?xml version="1.0" encoding="utf-8"?>
<Properties xmlns="http://schemas.openxmlformats.org/officeDocument/2006/custom-properties" xmlns:vt="http://schemas.openxmlformats.org/officeDocument/2006/docPropsVTypes"/>
</file>