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COSHH (CONTROL OF SUBSTANCES HAZARDOUS TO HEALTH)</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BS-RA-COSHH-008</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assess, and control exposure to substances hazardous to health used or encountered within the GP practice, including clinical chemicals, cleaning agents, laboratory specimens, and pharmaceutical products, in compliance with COSHH Regulations.</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substances hazardous to health stored, used, or generated within the practice, including cleaning chemicals, disinfectants, sterilisation products, clinical specimens (blood, urine, tissue), pharmaceutical products, and any substances producing hazardous fumes or dust. Applies to all staff, contractors, and cleaning personnel.</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Control of Substances Hazardous to Health Regulations 2002 (COSHH) (as amended 2004)</w:t>
      </w:r>
    </w:p>
    <w:p>
      <w:pPr>
        <w:pStyle w:val="ListParagraph"/>
        <w:numPr>
          <w:ilvl w:val="0"/>
          <w:numId w:val="2"/>
        </w:numPr>
        <w:spacing w:after="40" w:before="40"/>
      </w:pPr>
      <w:r>
        <w:rPr>
          <w:rFonts w:ascii="Arial" w:cs="Arial" w:eastAsia="Arial" w:hAnsi="Arial"/>
          <w:color w:val="333333"/>
          <w:sz w:val="18"/>
          <w:szCs w:val="18"/>
        </w:rPr>
        <w:t xml:space="preserve">Health and Safety at Work etc. Act 1974 (Sections 2 and 3)</w:t>
      </w:r>
    </w:p>
    <w:p>
      <w:pPr>
        <w:pStyle w:val="ListParagraph"/>
        <w:numPr>
          <w:ilvl w:val="0"/>
          <w:numId w:val="2"/>
        </w:numPr>
        <w:spacing w:after="40" w:before="40"/>
      </w:pPr>
      <w:r>
        <w:rPr>
          <w:rFonts w:ascii="Arial" w:cs="Arial" w:eastAsia="Arial" w:hAnsi="Arial"/>
          <w:color w:val="333333"/>
          <w:sz w:val="18"/>
          <w:szCs w:val="18"/>
        </w:rPr>
        <w:t xml:space="preserve">The Management of Health and Safety at Work Regulations 1999 (Regulations 3 and 10)</w:t>
      </w:r>
    </w:p>
    <w:p>
      <w:pPr>
        <w:pStyle w:val="ListParagraph"/>
        <w:numPr>
          <w:ilvl w:val="0"/>
          <w:numId w:val="2"/>
        </w:numPr>
        <w:spacing w:after="40" w:before="40"/>
      </w:pPr>
      <w:r>
        <w:rPr>
          <w:rFonts w:ascii="Arial" w:cs="Arial" w:eastAsia="Arial" w:hAnsi="Arial"/>
          <w:color w:val="333333"/>
          <w:sz w:val="18"/>
          <w:szCs w:val="18"/>
        </w:rPr>
        <w:t xml:space="preserve">Personal Protective Equipment at Work Regulations 1992 (as amended 2022)</w:t>
      </w:r>
    </w:p>
    <w:p>
      <w:pPr>
        <w:pStyle w:val="ListParagraph"/>
        <w:numPr>
          <w:ilvl w:val="0"/>
          <w:numId w:val="2"/>
        </w:numPr>
        <w:spacing w:after="40" w:before="40"/>
      </w:pPr>
      <w:r>
        <w:rPr>
          <w:rFonts w:ascii="Arial" w:cs="Arial" w:eastAsia="Arial" w:hAnsi="Arial"/>
          <w:color w:val="333333"/>
          <w:sz w:val="18"/>
          <w:szCs w:val="18"/>
        </w:rPr>
        <w:t xml:space="preserve">Classification, Labelling and Packaging Regulation (CLP) (retained EU Regulation (EC) No 1272/2008)</w:t>
      </w:r>
    </w:p>
    <w:p>
      <w:pPr>
        <w:pStyle w:val="ListParagraph"/>
        <w:numPr>
          <w:ilvl w:val="0"/>
          <w:numId w:val="2"/>
        </w:numPr>
        <w:spacing w:after="40" w:before="40"/>
      </w:pPr>
      <w:r>
        <w:rPr>
          <w:rFonts w:ascii="Arial" w:cs="Arial" w:eastAsia="Arial" w:hAnsi="Arial"/>
          <w:color w:val="333333"/>
          <w:sz w:val="18"/>
          <w:szCs w:val="18"/>
        </w:rPr>
        <w:t xml:space="preserve">Environmental Protection Act 1990 (Duty of Care for Waste Disposal)</w:t>
      </w:r>
    </w:p>
    <w:p>
      <w:pPr>
        <w:pStyle w:val="ListParagraph"/>
        <w:numPr>
          <w:ilvl w:val="0"/>
          <w:numId w:val="2"/>
        </w:numPr>
        <w:spacing w:after="40" w:before="40"/>
      </w:pPr>
      <w:r>
        <w:rPr>
          <w:rFonts w:ascii="Arial" w:cs="Arial" w:eastAsia="Arial" w:hAnsi="Arial"/>
          <w:color w:val="333333"/>
          <w:sz w:val="18"/>
          <w:szCs w:val="18"/>
        </w:rPr>
        <w:t xml:space="preserve">Hazardous Waste (England and Wales) Regulations 2005</w:t>
      </w:r>
    </w:p>
    <w:p>
      <w:pPr>
        <w:pStyle w:val="ListParagraph"/>
        <w:numPr>
          <w:ilvl w:val="0"/>
          <w:numId w:val="2"/>
        </w:numPr>
        <w:spacing w:after="40" w:before="40"/>
      </w:pPr>
      <w:r>
        <w:rPr>
          <w:rFonts w:ascii="Arial" w:cs="Arial" w:eastAsia="Arial" w:hAnsi="Arial"/>
          <w:color w:val="333333"/>
          <w:sz w:val="18"/>
          <w:szCs w:val="18"/>
        </w:rPr>
        <w:t xml:space="preserve">The Chemicals (Hazard Information and Packaging for Supply) Regulations 2009 (CHIP)</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Skin and respiratory exposure to clinical cleaning agents and disinfectants (e.g. chlorine-based products, Tristel, Clinell)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Cleaning staff, clinical staff, healthcare assistants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COSHH assessments completed for all products; Safety Data Sheets (SDS) available in COSHH folder; products used in accordance with manufacturer dilution rates; PPE provided (gloves, aprons); staff trained at induction</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Review COSHH assessments annually and when products change; ensure SDS are current versions; provide additional PPE (face shields/visors) for high-risk tasks; substitute less hazardous alternatives where possible (hierarchy of control); display COSHH risk assessments at point of use; ensure adequate ventilation in cleaning chemical storage area</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Exposure to blood-borne pathogens through sharps injury or specimen handling (biological agents)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staff, phlebotomists, laboratory couriers, cleaning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Sharps safety devices used; sharps containers comply with BS 7320; immediate sharps injury protocol displayed; hepatitis B vaccination offered to all at-risk staff; specimens transported in sealed containers; blood spill kit available</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Audit sharps safety device usage quarterly; ensure all clinical staff have documented hepatitis B immunity status; blood spill management refresher training annually; review specimen handling procedures against current PHE guidance; incident report and post-exposure prophylaxis pathway reviewed annually</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Chemical spillage in clinical or storage areas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All staff, patients, visitors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Spill kit available in treatment room and cleaning cupboard; hazardous substances stored in locked, ventilated cupboard; secondary containment for liquid chemicals; spill procedure documented</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Conduct annual spill drill; ensure all staff know location of spill kits; check spill kit contents quarterly; install chemical-resistant flooring in storage areas if not already in place; review storage arrangements to minimise risk of toppling or leakage; ensure eye wash station accessible within 10 seconds of chemical use areas</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1</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3</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Inhalation of hazardous fumes from liquid nitrogen (cryotherapy) or formaldehyde (specimen preservation)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staff performing cryotherapy or handling specimens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Procedures carried out in well-ventilated rooms; staff trained on safe use; liquid nitrogen stored in vented container; formaldehyde use minimised; COSHH assessment specific to each substance</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Ensure room ventilation meets minimum air change requirements; provide local exhaust ventilation (LEV) if formaldehyde is used; consider formalin-free alternatives for specimen fixation; exposure monitoring if threshold limit values may be approached; annual refresher training specific to high-risk substances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Incorrect storage or labelling of hazardous substances leading to accidental misuse or mixing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Cleaning staff, clinical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All substances in original containers with manufacturer labels; COSHH storage cupboard locked; no decanting without re-labelling; SDS available for all products; cleaning staff trained on product identification</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Quarterly storage area audit; implement colour-coded labelling system for different substance categories; ensure no incompatible chemicals stored together (e.g. oxidisers and organics); remove unlabelled or expired substances immediately; update product inventory with annual stocktake; brief all new staff and agency cleaners on storage rules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BS-RA-COSHH-008  |  COSHH (Control of Substances Hazardous to Health)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2026-05-15T12:28:36.447Z</dcterms:created>
  <dcterms:modified xsi:type="dcterms:W3CDTF">2026-05-15T12:28:36.447Z</dcterms:modified>
</cp:coreProperties>
</file>

<file path=docProps/custom.xml><?xml version="1.0" encoding="utf-8"?>
<Properties xmlns="http://schemas.openxmlformats.org/officeDocument/2006/custom-properties" xmlns:vt="http://schemas.openxmlformats.org/officeDocument/2006/docPropsVTypes"/>
</file>