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0B1D3A"/>
          <w:sz w:val="40"/>
          <w:szCs w:val="40"/>
        </w:rPr>
        <w:t xml:space="preserve">RISK ASSESSMENT</w:t>
      </w:r>
    </w:p>
    <w:p>
      <w:pPr>
        <w:spacing w:after="60"/>
        <w:jc w:val="center"/>
      </w:pPr>
      <w:r>
        <w:rPr>
          <w:rFonts w:ascii="Arial" w:cs="Arial" w:eastAsia="Arial" w:hAnsi="Arial"/>
          <w:b/>
          <w:bCs/>
          <w:color w:val="D4AF37"/>
          <w:sz w:val="30"/>
          <w:szCs w:val="30"/>
        </w:rPr>
        <w:t xml:space="preserve">DATA PROTECTION AND INFORMATION GOVERNANCE</w:t>
      </w:r>
    </w:p>
    <w:p>
      <w:pPr>
        <w:pBdr>
          <w:bottom w:val="single" w:color="D4AF37" w:sz="8" w:space="1"/>
        </w:pBdr>
        <w:spacing w:after="200" w:before="200"/>
      </w:pP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2800"/>
        <w:gridCol w:w="4700"/>
        <w:gridCol w:w="2800"/>
        <w:gridCol w:w="4000"/>
      </w:tblGrid>
      <w:tr>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Reference</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BS-RA-DP-010</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Assessment Date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Date]</w:t>
            </w:r>
          </w:p>
        </w:tc>
      </w:tr>
      <w:tr>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Assessed By</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Name], [Insert Job Title]</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Date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Date – 12 months from assessment]</w:t>
            </w:r>
          </w:p>
        </w:tc>
      </w:tr>
      <w:tr>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Practice Name</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Practice Name]</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Name], [Insert Job Title]</w:t>
            </w:r>
          </w:p>
        </w:tc>
      </w:tr>
    </w:tbl>
    <w:p>
      <w:pPr>
        <w:spacing w:before="300"/>
      </w:pPr>
    </w:p>
    <w:p>
      <w:pPr>
        <w:pStyle w:val="Heading2"/>
      </w:pPr>
      <w:r>
        <w:rPr>
          <w:rFonts w:ascii="Arial" w:cs="Arial" w:eastAsia="Arial" w:hAnsi="Arial"/>
          <w:b/>
          <w:bCs/>
          <w:color w:val="0B1D3A"/>
        </w:rPr>
        <w:t xml:space="preserve">1. Purpose</w:t>
      </w:r>
    </w:p>
    <w:p>
      <w:pPr>
        <w:spacing w:after="100"/>
      </w:pPr>
      <w:r>
        <w:rPr>
          <w:rFonts w:ascii="Arial" w:cs="Arial" w:eastAsia="Arial" w:hAnsi="Arial"/>
          <w:color w:val="333333"/>
          <w:sz w:val="19"/>
          <w:szCs w:val="19"/>
        </w:rPr>
        <w:t xml:space="preserve">To identify and mitigate risks to the confidentiality, integrity, and availability of personal and special category data processed by the GP practice, ensuring compliance with data protection legislation and NHS information governance requirements.</w:t>
      </w:r>
    </w:p>
    <w:p>
      <w:pPr>
        <w:pStyle w:val="Heading2"/>
      </w:pPr>
      <w:r>
        <w:rPr>
          <w:rFonts w:ascii="Arial" w:cs="Arial" w:eastAsia="Arial" w:hAnsi="Arial"/>
          <w:b/>
          <w:bCs/>
          <w:color w:val="0B1D3A"/>
        </w:rPr>
        <w:t xml:space="preserve">2. Scope</w:t>
      </w:r>
    </w:p>
    <w:p>
      <w:pPr>
        <w:spacing w:after="100"/>
      </w:pPr>
      <w:r>
        <w:rPr>
          <w:rFonts w:ascii="Arial" w:cs="Arial" w:eastAsia="Arial" w:hAnsi="Arial"/>
          <w:color w:val="333333"/>
          <w:sz w:val="19"/>
          <w:szCs w:val="19"/>
        </w:rPr>
        <w:t xml:space="preserve">All processing of personal data across the practice, including patient medical records, staff records, communications (electronic and paper), GP clinical systems, patient-facing portals, telephony, and any third-party data processors. Applies to all staff, locums, trainees, contractors, and data processors.</w:t>
      </w:r>
    </w:p>
    <w:p>
      <w:pPr>
        <w:pStyle w:val="Heading2"/>
      </w:pPr>
      <w:r>
        <w:rPr>
          <w:rFonts w:ascii="Arial" w:cs="Arial" w:eastAsia="Arial" w:hAnsi="Arial"/>
          <w:b/>
          <w:bCs/>
          <w:color w:val="0B1D3A"/>
        </w:rPr>
        <w:t xml:space="preserve">3. Applicable Legislation and Guidance</w:t>
      </w:r>
    </w:p>
    <w:p>
      <w:pPr>
        <w:pStyle w:val="ListParagraph"/>
        <w:numPr>
          <w:ilvl w:val="0"/>
          <w:numId w:val="2"/>
        </w:numPr>
        <w:spacing w:after="40" w:before="40"/>
      </w:pPr>
      <w:r>
        <w:rPr>
          <w:rFonts w:ascii="Arial" w:cs="Arial" w:eastAsia="Arial" w:hAnsi="Arial"/>
          <w:color w:val="333333"/>
          <w:sz w:val="18"/>
          <w:szCs w:val="18"/>
        </w:rPr>
        <w:t xml:space="preserve">Data Protection Act 2018 (UK GDPR implementation)</w:t>
      </w:r>
    </w:p>
    <w:p>
      <w:pPr>
        <w:pStyle w:val="ListParagraph"/>
        <w:numPr>
          <w:ilvl w:val="0"/>
          <w:numId w:val="2"/>
        </w:numPr>
        <w:spacing w:after="40" w:before="40"/>
      </w:pPr>
      <w:r>
        <w:rPr>
          <w:rFonts w:ascii="Arial" w:cs="Arial" w:eastAsia="Arial" w:hAnsi="Arial"/>
          <w:color w:val="333333"/>
          <w:sz w:val="18"/>
          <w:szCs w:val="18"/>
        </w:rPr>
        <w:t xml:space="preserve">UK General Data Protection Regulation (UK GDPR) (retained EU Regulation 2016/679)</w:t>
      </w:r>
    </w:p>
    <w:p>
      <w:pPr>
        <w:pStyle w:val="ListParagraph"/>
        <w:numPr>
          <w:ilvl w:val="0"/>
          <w:numId w:val="2"/>
        </w:numPr>
        <w:spacing w:after="40" w:before="40"/>
      </w:pPr>
      <w:r>
        <w:rPr>
          <w:rFonts w:ascii="Arial" w:cs="Arial" w:eastAsia="Arial" w:hAnsi="Arial"/>
          <w:color w:val="333333"/>
          <w:sz w:val="18"/>
          <w:szCs w:val="18"/>
        </w:rPr>
        <w:t xml:space="preserve">The Privacy and Electronic Communications Regulations 2003 (PECR)</w:t>
      </w:r>
    </w:p>
    <w:p>
      <w:pPr>
        <w:pStyle w:val="ListParagraph"/>
        <w:numPr>
          <w:ilvl w:val="0"/>
          <w:numId w:val="2"/>
        </w:numPr>
        <w:spacing w:after="40" w:before="40"/>
      </w:pPr>
      <w:r>
        <w:rPr>
          <w:rFonts w:ascii="Arial" w:cs="Arial" w:eastAsia="Arial" w:hAnsi="Arial"/>
          <w:color w:val="333333"/>
          <w:sz w:val="18"/>
          <w:szCs w:val="18"/>
        </w:rPr>
        <w:t xml:space="preserve">The Common Law Duty of Confidentiality</w:t>
      </w:r>
    </w:p>
    <w:p>
      <w:pPr>
        <w:pStyle w:val="ListParagraph"/>
        <w:numPr>
          <w:ilvl w:val="0"/>
          <w:numId w:val="2"/>
        </w:numPr>
        <w:spacing w:after="40" w:before="40"/>
      </w:pPr>
      <w:r>
        <w:rPr>
          <w:rFonts w:ascii="Arial" w:cs="Arial" w:eastAsia="Arial" w:hAnsi="Arial"/>
          <w:color w:val="333333"/>
          <w:sz w:val="18"/>
          <w:szCs w:val="18"/>
        </w:rPr>
        <w:t xml:space="preserve">NHS Act 2006 (Section 251 – Processing of Patient Information)</w:t>
      </w:r>
    </w:p>
    <w:p>
      <w:pPr>
        <w:pStyle w:val="ListParagraph"/>
        <w:numPr>
          <w:ilvl w:val="0"/>
          <w:numId w:val="2"/>
        </w:numPr>
        <w:spacing w:after="40" w:before="40"/>
      </w:pPr>
      <w:r>
        <w:rPr>
          <w:rFonts w:ascii="Arial" w:cs="Arial" w:eastAsia="Arial" w:hAnsi="Arial"/>
          <w:color w:val="333333"/>
          <w:sz w:val="18"/>
          <w:szCs w:val="18"/>
        </w:rPr>
        <w:t xml:space="preserve">The Health and Social Care Act 2008 (Regulated Activities) Regulations 2014 (Regulation 17 – Good Governance)</w:t>
      </w:r>
    </w:p>
    <w:p>
      <w:pPr>
        <w:pStyle w:val="ListParagraph"/>
        <w:numPr>
          <w:ilvl w:val="0"/>
          <w:numId w:val="2"/>
        </w:numPr>
        <w:spacing w:after="40" w:before="40"/>
      </w:pPr>
      <w:r>
        <w:rPr>
          <w:rFonts w:ascii="Arial" w:cs="Arial" w:eastAsia="Arial" w:hAnsi="Arial"/>
          <w:color w:val="333333"/>
          <w:sz w:val="18"/>
          <w:szCs w:val="18"/>
        </w:rPr>
        <w:t xml:space="preserve">Computer Misuse Act 1990</w:t>
      </w:r>
    </w:p>
    <w:p>
      <w:pPr>
        <w:pStyle w:val="ListParagraph"/>
        <w:numPr>
          <w:ilvl w:val="0"/>
          <w:numId w:val="2"/>
        </w:numPr>
        <w:spacing w:after="40" w:before="40"/>
      </w:pPr>
      <w:r>
        <w:rPr>
          <w:rFonts w:ascii="Arial" w:cs="Arial" w:eastAsia="Arial" w:hAnsi="Arial"/>
          <w:color w:val="333333"/>
          <w:sz w:val="18"/>
          <w:szCs w:val="18"/>
        </w:rPr>
        <w:t xml:space="preserve">NHS Data Security and Protection Toolkit (DSPT) Standards</w:t>
      </w:r>
    </w:p>
    <w:p>
      <w:pPr>
        <w:pStyle w:val="ListParagraph"/>
        <w:numPr>
          <w:ilvl w:val="0"/>
          <w:numId w:val="2"/>
        </w:numPr>
        <w:spacing w:after="40" w:before="40"/>
      </w:pPr>
      <w:r>
        <w:rPr>
          <w:rFonts w:ascii="Arial" w:cs="Arial" w:eastAsia="Arial" w:hAnsi="Arial"/>
          <w:color w:val="333333"/>
          <w:sz w:val="18"/>
          <w:szCs w:val="18"/>
        </w:rPr>
        <w:t xml:space="preserve">Caldicott Principles (revised 2021 – 8 principles)</w:t>
      </w:r>
    </w:p>
    <w:p>
      <w:pPr>
        <w:pStyle w:val="ListParagraph"/>
        <w:numPr>
          <w:ilvl w:val="0"/>
          <w:numId w:val="2"/>
        </w:numPr>
        <w:spacing w:after="40" w:before="40"/>
      </w:pPr>
      <w:r>
        <w:rPr>
          <w:rFonts w:ascii="Arial" w:cs="Arial" w:eastAsia="Arial" w:hAnsi="Arial"/>
          <w:color w:val="333333"/>
          <w:sz w:val="18"/>
          <w:szCs w:val="18"/>
        </w:rPr>
        <w:t xml:space="preserve">ICO Guidance on Data Protection Impact Assessments (DPIAs)</w:t>
      </w:r>
    </w:p>
    <w:p>
      <w:pPr>
        <w:pBdr>
          <w:bottom w:val="single" w:color="D4AF37" w:sz="8" w:space="1"/>
        </w:pBdr>
        <w:spacing w:after="200" w:before="200"/>
      </w:pPr>
    </w:p>
    <w:p>
      <w:pPr>
        <w:pStyle w:val="Heading2"/>
      </w:pPr>
      <w:r>
        <w:rPr>
          <w:rFonts w:ascii="Arial" w:cs="Arial" w:eastAsia="Arial" w:hAnsi="Arial"/>
          <w:b/>
          <w:bCs/>
          <w:color w:val="0B1D3A"/>
        </w:rPr>
        <w:t xml:space="preserve">4. Risk Rating Matrix (Likelihood × Severity)</w:t>
      </w:r>
    </w:p>
    <w:p>
      <w:pPr>
        <w:spacing w:after="100"/>
      </w:pPr>
      <w:r>
        <w:rPr>
          <w:rFonts w:ascii="Arial" w:cs="Arial" w:eastAsia="Arial" w:hAnsi="Arial"/>
          <w:color w:val="555555"/>
          <w:sz w:val="18"/>
          <w:szCs w:val="18"/>
        </w:rPr>
        <w:t xml:space="preserve">L = Likelihood (1–5)  |  S = Severity (1–5)  |  Rating = L × S</w:t>
      </w:r>
    </w:p>
    <w:p>
      <w:pPr>
        <w:spacing w:after="60"/>
      </w:pPr>
      <w:r>
        <w:rPr>
          <w:rFonts w:ascii="Arial" w:cs="Arial" w:eastAsia="Arial" w:hAnsi="Arial"/>
          <w:b/>
          <w:bCs/>
          <w:color w:val="27AE60"/>
          <w:sz w:val="18"/>
          <w:szCs w:val="18"/>
        </w:rPr>
        <w:t xml:space="preserve">Low (1–4)</w:t>
      </w:r>
      <w:r>
        <w:rPr>
          <w:rFonts w:ascii="Arial" w:cs="Arial" w:eastAsia="Arial" w:hAnsi="Arial"/>
          <w:sz w:val="18"/>
          <w:szCs w:val="18"/>
        </w:rPr>
        <w:t xml:space="preserve">    </w:t>
      </w:r>
      <w:r>
        <w:rPr>
          <w:rFonts w:ascii="Arial" w:cs="Arial" w:eastAsia="Arial" w:hAnsi="Arial"/>
          <w:b/>
          <w:bCs/>
          <w:color w:val="F39C12"/>
          <w:sz w:val="18"/>
          <w:szCs w:val="18"/>
        </w:rPr>
        <w:t xml:space="preserve">Medium (5–11)</w:t>
      </w:r>
      <w:r>
        <w:rPr>
          <w:rFonts w:ascii="Arial" w:cs="Arial" w:eastAsia="Arial" w:hAnsi="Arial"/>
          <w:sz w:val="18"/>
          <w:szCs w:val="18"/>
        </w:rPr>
        <w:t xml:space="preserve">    </w:t>
      </w:r>
      <w:r>
        <w:rPr>
          <w:rFonts w:ascii="Arial" w:cs="Arial" w:eastAsia="Arial" w:hAnsi="Arial"/>
          <w:b/>
          <w:bCs/>
          <w:color w:val="E74C3C"/>
          <w:sz w:val="18"/>
          <w:szCs w:val="18"/>
        </w:rPr>
        <w:t xml:space="preserve">High (12–25)</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tblGrid>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Likelihood / Severity</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1 - Negligible</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2 - Minor</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3 - Moderate</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4 - Major</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5 - Catastrophic</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1 - Very Unlikely</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1</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2</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4</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5</w:t>
            </w:r>
            <w:r>
              <w:rPr>
                <w:rFonts w:ascii="Arial" w:cs="Arial" w:eastAsia="Arial" w:hAnsi="Arial"/>
                <w:color w:val="F39C12"/>
                <w:sz w:val="14"/>
                <w:szCs w:val="14"/>
              </w:rPr>
              <w:t xml:space="preserve">
Medium</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2 - Unlikely</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2</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4</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6</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8</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10</w:t>
            </w:r>
            <w:r>
              <w:rPr>
                <w:rFonts w:ascii="Arial" w:cs="Arial" w:eastAsia="Arial" w:hAnsi="Arial"/>
                <w:color w:val="E74C3C"/>
                <w:sz w:val="14"/>
                <w:szCs w:val="14"/>
              </w:rPr>
              <w:t xml:space="preserve">
High</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3 - Possible</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6</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9</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12</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15</w:t>
            </w:r>
            <w:r>
              <w:rPr>
                <w:rFonts w:ascii="Arial" w:cs="Arial" w:eastAsia="Arial" w:hAnsi="Arial"/>
                <w:color w:val="E74C3C"/>
                <w:sz w:val="14"/>
                <w:szCs w:val="14"/>
              </w:rPr>
              <w:t xml:space="preserve">
High</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4 - Likely</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4</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8</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12</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16</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20</w:t>
            </w:r>
            <w:r>
              <w:rPr>
                <w:rFonts w:ascii="Arial" w:cs="Arial" w:eastAsia="Arial" w:hAnsi="Arial"/>
                <w:color w:val="E74C3C"/>
                <w:sz w:val="14"/>
                <w:szCs w:val="14"/>
              </w:rPr>
              <w:t xml:space="preserve">
High</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5 - Almost Certain</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5</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10</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15</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20</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25</w:t>
            </w:r>
            <w:r>
              <w:rPr>
                <w:rFonts w:ascii="Arial" w:cs="Arial" w:eastAsia="Arial" w:hAnsi="Arial"/>
                <w:color w:val="E74C3C"/>
                <w:sz w:val="14"/>
                <w:szCs w:val="14"/>
              </w:rPr>
              <w:t xml:space="preserve">
High</w:t>
            </w:r>
          </w:p>
        </w:tc>
      </w:tr>
    </w:tbl>
    <w:p>
      <w:pPr>
        <w:pBdr>
          <w:bottom w:val="single" w:color="D4AF37" w:sz="8" w:space="1"/>
        </w:pBdr>
        <w:spacing w:after="200" w:before="200"/>
      </w:pPr>
    </w:p>
    <w:p>
      <w:pPr>
        <w:pStyle w:val="Heading2"/>
        <w:spacing w:after="120" w:before="200"/>
      </w:pPr>
      <w:r>
        <w:rPr>
          <w:rFonts w:ascii="Arial" w:cs="Arial" w:eastAsia="Arial" w:hAnsi="Arial"/>
          <w:b/>
          <w:bCs/>
          <w:color w:val="0B1D3A"/>
        </w:rPr>
        <w:t xml:space="preserve">5. Risk Assessment</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600"/>
        <w:gridCol w:w="550"/>
        <w:gridCol w:w="550"/>
        <w:gridCol w:w="700"/>
        <w:gridCol w:w="2800"/>
        <w:gridCol w:w="550"/>
        <w:gridCol w:w="550"/>
        <w:gridCol w:w="700"/>
        <w:gridCol w:w="1000"/>
        <w:gridCol w:w="1000"/>
      </w:tblGrid>
      <w:tr>
        <w:tc>
          <w:tcPr>
            <w:tcW w:type="dxa" w:w="2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1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2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800"/>
            <w:gridSpan w:val="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D4AF37"/>
                <w:sz w:val="18"/>
                <w:szCs w:val="18"/>
              </w:rPr>
              <w:t xml:space="preserve">INITIAL RISK</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800"/>
            <w:gridSpan w:val="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D4AF37"/>
                <w:sz w:val="18"/>
                <w:szCs w:val="18"/>
              </w:rPr>
              <w:t xml:space="preserve">RESIDUAL RISK</w:t>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r>
      <w:tr>
        <w:tc>
          <w:tcPr>
            <w:tcW w:type="dxa" w:w="2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Hazard / Risk</w:t>
            </w:r>
          </w:p>
        </w:tc>
        <w:tc>
          <w:tcPr>
            <w:tcW w:type="dxa" w:w="11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Who Is at Risk?</w:t>
            </w:r>
          </w:p>
        </w:tc>
        <w:tc>
          <w:tcPr>
            <w:tcW w:type="dxa" w:w="2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Existing Control Measures</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w:t>
            </w:r>
          </w:p>
        </w:tc>
        <w:tc>
          <w:tcPr>
            <w:tcW w:type="dxa" w:w="7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Additional Control Measures Required</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w:t>
            </w:r>
          </w:p>
        </w:tc>
        <w:tc>
          <w:tcPr>
            <w:tcW w:type="dxa" w:w="7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w:t>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Owner</w:t>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Unauthorised access to patient medical records by staff without legitimate reason (browsing/snooping)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Patients whose data is breached, practice (regulatory risk)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Role-based access controls on clinical system; smartcard/two-factor authentication for NHS Spine access; confidentiality clause in employment contracts; annual IG training mandatory; audit trail on clinical system</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3</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4</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Conduct quarterly access audit of clinical system logs; implement random spot-check audits; include IG compliance in annual appraisals; ensure leavers have access revoked on day of departure; display consequences of unauthorised access in staff areas (Computer Misuse Act 1990); review access levels when roles change</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4</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Loss or theft of devices containing patient data (laptops, USB drives, mobile phones)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Patients, staff, practice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All portable devices encrypted (BitLocker or equivalent); mobile device management (MDM) solution deployed; remote wipe capability enabled; USB port restrictions; no patient data on personal devices policy</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5</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Maintain asset register of all devices with encryption status; annual encryption compliance check; implement auto-lock on all devices after 5 minutes inactivity; ensure contractor devices meet practice encryption standards; report any device loss to DPO within 4 hours; include device security in IG induction</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1</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5</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Cyber-attack (ransomware, phishing, malware) compromising patient data or clinical system availability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Patients, staff, practice operations, NHS network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NHS Digital cyber security alerts monitored; antivirus and firewall maintained; regular patching and updates; staff trained on phishing awareness; daily backups to encrypted offsite storage; business continuity plan in place</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3</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5</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Complete annual NHS DSPT self-assessment; implement multi-factor authentication across all systems; conduct simulated phishing exercises quarterly; review business continuity plan annually with cyber-attack scenario; ensure backup recovery tested at least six-monthly; restrict admin privileges to IT personnel only; engage NHS Digital for penetration testing</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5</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Inappropriate disclosure of patient information via telephone, email, fax, or reception desk (breach of confidentiality)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Patients, practice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Patient identity verification procedure for telephone and reception enquiries; confidential conversations held in private rooms; fax machines in secure locations; NHS Mail used for patient-identifiable data; clean desk policy enforced</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3</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4</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Audit telephone verification compliance quarterly; phase out fax machines in favour of secure electronic communication; install privacy screens on reception monitors; ensure waiting area cannot overhear reception conversations (acoustic screening); conduct annual confidentiality awareness refresher; include scenario-based training on common disclosure errors</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4</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Non-compliance with Subject Access Requests (SARs), data deletion requests, or data breach reporting obligations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Patients (rights), practice (regulatory fines up to £17.5m or 4% of turnover under UK GDPR)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DPO/data protection lead appointed; SAR procedure documented with 30-day response target; data breach reporting procedure aligned to ICO 72-hour notification requirement; breach log maintained; privacy notices published and reviewed annually</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4</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Implement SAR tracking log with automated deadline alerts; conduct annual DPIA for any new processing activities; review data retention schedules against NHS Records Management Code of Practice annually; test data breach reporting procedure with tabletop exercise; ensure all staff know how to report a data breach internally within 1 hour; review processor contracts for GDPR compliance annually</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1</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4</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bl>
    <w:p>
      <w:r>
        <w:br w:type="page"/>
      </w:r>
    </w:p>
    <w:p>
      <w:pPr>
        <w:pBdr>
          <w:bottom w:val="single" w:color="D4AF37" w:sz="8" w:space="1"/>
        </w:pBdr>
        <w:spacing w:after="200" w:before="200"/>
      </w:pPr>
    </w:p>
    <w:p>
      <w:pPr>
        <w:pStyle w:val="Heading2"/>
      </w:pPr>
      <w:r>
        <w:rPr>
          <w:rFonts w:ascii="Arial" w:cs="Arial" w:eastAsia="Arial" w:hAnsi="Arial"/>
          <w:b/>
          <w:bCs/>
          <w:color w:val="0B1D3A"/>
        </w:rPr>
        <w:t xml:space="preserve">6. Assessment Sign-Off</w:t>
      </w:r>
    </w:p>
    <w:p>
      <w:pPr>
        <w:spacing w:after="200" w:before="120"/>
      </w:pPr>
      <w:r>
        <w:rPr>
          <w:rFonts w:ascii="Arial" w:cs="Arial" w:eastAsia="Arial" w:hAnsi="Arial"/>
          <w:color w:val="333333"/>
          <w:sz w:val="19"/>
          <w:szCs w:val="19"/>
        </w:rPr>
        <w:t xml:space="preserve">This risk assessment has been reviewed and approved by the following authorised persons. It shall be reviewed at least annually, or sooner if there is a significant change in work practices, legislation, or following an incident.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3300"/>
      </w:tblGrid>
      <w:tr>
        <w:tc>
          <w:tcPr>
            <w:tcW w:type="dxa" w:w="34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33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 / Name</w:t>
            </w:r>
          </w:p>
        </w:tc>
        <w:tc>
          <w:tcPr>
            <w:tcW w:type="dxa" w:w="33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Assessor: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Practice Manager: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Senior Partner / Lead GP: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Health &amp; Safety Lead: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bl>
    <w:p>
      <w:pPr>
        <w:spacing w:before="300"/>
      </w:pPr>
    </w:p>
    <w:p>
      <w:pPr>
        <w:pBdr>
          <w:bottom w:val="single" w:color="D4AF37" w:sz="8" w:space="1"/>
        </w:pBdr>
        <w:spacing w:after="200" w:before="200"/>
      </w:pPr>
    </w:p>
    <w:p>
      <w:pPr>
        <w:spacing w:after="60" w:before="200"/>
      </w:pPr>
      <w:r>
        <w:rPr>
          <w:rFonts w:ascii="Arial" w:cs="Arial" w:eastAsia="Arial" w:hAnsi="Arial"/>
          <w:b/>
          <w:bCs/>
          <w:color w:val="0B1D3A"/>
          <w:sz w:val="22"/>
          <w:szCs w:val="22"/>
        </w:rPr>
        <w:t xml:space="preserve">Document Control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1.0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[Insert Date]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[Insert Name]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Initial issue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bl>
    <w:p>
      <w:pPr>
        <w:spacing w:before="300"/>
      </w:pPr>
    </w:p>
    <w:p>
      <w:pPr>
        <w:pBdr>
          <w:top w:val="single" w:color="D4AF37" w:sz="4" w:space="1"/>
        </w:pBdr>
        <w:spacing w:before="200"/>
        <w:jc w:val="center"/>
      </w:pPr>
      <w:r>
        <w:rPr>
          <w:rFonts w:ascii="Arial" w:cs="Arial" w:eastAsia="Arial" w:hAnsi="Arial"/>
          <w:b/>
          <w:bCs/>
          <w:color w:val="0B1D3A"/>
          <w:sz w:val="18"/>
          <w:szCs w:val="18"/>
        </w:rPr>
        <w:t xml:space="preserve">Prepared by Barker Scott  |  barker-scott.co.uk  |  Health &amp; Safety Consultants</w:t>
      </w:r>
    </w:p>
    <w:p>
      <w:pPr>
        <w:spacing w:before="60"/>
        <w:jc w:val="center"/>
      </w:pPr>
      <w:r>
        <w:rPr>
          <w:rFonts w:ascii="Arial" w:cs="Arial" w:eastAsia="Arial" w:hAnsi="Arial"/>
          <w:i/>
          <w:iCs/>
          <w:color w:val="888888"/>
          <w:sz w:val="14"/>
          <w:szCs w:val="14"/>
        </w:rPr>
        <w:t xml:space="preserve">This document is confidential and intended solely for use by the named practice. Unauthorised reproduction or distribution is prohibited.</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spacing w:before="80"/>
    </w:pPr>
    <w:r>
      <w:rPr>
        <w:rFonts w:ascii="Arial" w:cs="Arial" w:eastAsia="Arial" w:hAnsi="Arial"/>
        <w:color w:val="888888"/>
        <w:sz w:val="14"/>
        <w:szCs w:val="14"/>
      </w:rPr>
      <w:t xml:space="preserve">BS-RA-DP-010  |  Data Protection and Information Governance  |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r>
      <w:rPr>
        <w:rFonts w:ascii="Arial" w:cs="Arial" w:eastAsia="Arial" w:hAnsi="Arial"/>
        <w:color w:val="888888"/>
        <w:sz w:val="14"/>
        <w:szCs w:val="14"/>
      </w:rPr>
      <w:t xml:space="preserve">  |  Barker Scott ©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left"/>
    </w:pPr>
    <w:r>
      <w:rPr>
        <w:rFonts w:ascii="Arial" w:cs="Arial" w:eastAsia="Arial" w:hAnsi="Arial"/>
        <w:b/>
        <w:bCs/>
        <w:color w:val="0B1D3A"/>
        <w:sz w:val="28"/>
        <w:szCs w:val="28"/>
      </w:rPr>
      <w:t xml:space="preserve">BARKER SCOTT</w:t>
    </w:r>
    <w:r>
      <w:rPr>
        <w:rFonts w:ascii="Arial" w:cs="Arial" w:eastAsia="Arial" w:hAnsi="Arial"/>
        <w:color w:val="D4AF37"/>
        <w:sz w:val="20"/>
        <w:szCs w:val="20"/>
      </w:rPr>
      <w:t xml:space="preserve">  |  </w:t>
    </w:r>
    <w:r>
      <w:rPr>
        <w:rFonts w:ascii="Arial" w:cs="Arial" w:eastAsia="Arial" w:hAnsi="Arial"/>
        <w:color w:val="0B1D3A"/>
        <w:sz w:val="20"/>
        <w:szCs w:val="20"/>
      </w:rPr>
      <w:t xml:space="preserve">Health &amp; Safety Consultants</w:t>
    </w:r>
  </w:p>
  <w:p>
    <w:pPr>
      <w:pBdr>
        <w:bottom w:val="single" w:color="D4AF37" w:sz="6" w:space="1"/>
      </w:pBdr>
      <w:spacing w:after="40"/>
    </w:pPr>
    <w:r>
      <w:rPr>
        <w:rFonts w:ascii="Arial" w:cs="Arial" w:eastAsia="Arial" w:hAnsi="Arial"/>
        <w:i/>
        <w:iCs/>
        <w:color w:val="888888"/>
        <w:sz w:val="16"/>
        <w:szCs w:val="16"/>
      </w:rPr>
      <w:t xml:space="preserve">barker-scott.co.uk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B1D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2026-05-15T12:28:36.561Z</dcterms:created>
  <dcterms:modified xsi:type="dcterms:W3CDTF">2026-05-15T12:28:36.561Z</dcterms:modified>
</cp:coreProperties>
</file>

<file path=docProps/custom.xml><?xml version="1.0" encoding="utf-8"?>
<Properties xmlns="http://schemas.openxmlformats.org/officeDocument/2006/custom-properties" xmlns:vt="http://schemas.openxmlformats.org/officeDocument/2006/docPropsVTypes"/>
</file>