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B1D3A"/>
          <w:sz w:val="40"/>
          <w:szCs w:val="40"/>
        </w:rPr>
        <w:t xml:space="preserve">RISK ASSESSMENT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4AF37"/>
          <w:sz w:val="30"/>
          <w:szCs w:val="30"/>
        </w:rPr>
        <w:t xml:space="preserve">DISPLAY SCREEN EQUIPMENT (DSE)</w:t>
      </w:r>
    </w:p>
    <w:p>
      <w:pPr>
        <w:pBdr>
          <w:bottom w:val="single" w:color="D4AF37" w:sz="8" w:space="1"/>
        </w:pBdr>
        <w:spacing w:after="200" w:before="200"/>
      </w:pP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00"/>
        <w:gridCol w:w="2800"/>
        <w:gridCol w:w="4000"/>
      </w:tblGrid>
      <w:tr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BS-RA-DSE-007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Name], [Insert Job Title]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Date – 12 months from assessment]</w:t>
            </w:r>
          </w:p>
        </w:tc>
      </w:tr>
      <w:tr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Name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Practice Name]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Name], [Insert Job Title]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 identify and mitigate risks to staff health arising from habitual or prolonged use of display screen equipment (DSE), including musculoskeletal disorders, visual fatigue, and stress, in compliance with DSE regulations.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2. Scope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workstations where staff use DSE as a significant part of their normal work, including reception, administrative offices, consulting rooms, back-office areas, and any remote or home working arrangements. Applies to all staff classified as DSE users under the regulations.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3. Applicable Legislation and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Health and Safety (Display Screen Equipment) Regulations 1992 (as amended 2002)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Health and Safety at Work etc. Act 1974 (Sections 2 and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Management of Health and Safety at Work Regulations 1999 (Regulations 3 and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Workplace (Health, Safety and Welfare) Regulations 1992 (Regulations 5, 7, and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Provision and Use of Work Equipment Regulations 1998 (PUWER) (Regulation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Equality Act 2010 (reasonable adjustments for disabled workers)</w:t>
      </w:r>
    </w:p>
    <w:p>
      <w:pPr>
        <w:pBdr>
          <w:bottom w:val="single" w:color="D4AF37" w:sz="8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4. Risk Rating Matrix (Likelihood × Severity)</w:t>
      </w:r>
    </w:p>
    <w:p>
      <w:pPr>
        <w:spacing w:after="1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 = Likelihood (1–5)  |  S = Severity (1–5)  |  Rating = L × 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Low (1–4)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Medium (5–11)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High (12–25)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Likelihood / Severity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1 - Negligible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2 - Minor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3 - Moderate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4 - Major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5 - Catastrophic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1 - Very Unlikely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2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5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2 - Unlikely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2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6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8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10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3 - Possible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6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9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12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15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4 - Likely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8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12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16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20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5 - Almost Certain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5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10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15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20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25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</w:tr>
    </w:tbl>
    <w:p>
      <w:pPr>
        <w:pBdr>
          <w:bottom w:val="single" w:color="D4AF37" w:sz="8" w:space="1"/>
        </w:pBdr>
        <w:spacing w:after="200" w:before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1D3A"/>
        </w:rPr>
        <w:t xml:space="preserve">5. Risk Assessment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600"/>
        <w:gridCol w:w="550"/>
        <w:gridCol w:w="550"/>
        <w:gridCol w:w="700"/>
        <w:gridCol w:w="2800"/>
        <w:gridCol w:w="550"/>
        <w:gridCol w:w="550"/>
        <w:gridCol w:w="700"/>
        <w:gridCol w:w="1000"/>
        <w:gridCol w:w="1000"/>
      </w:tblGrid>
      <w:tr>
        <w:tc>
          <w:tcPr>
            <w:tcW w:type="dxa" w:w="2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3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INITIAL RISK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3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RESIDUAL RISK</w:t>
            </w:r>
          </w:p>
        </w:tc>
        <w:tc>
          <w:tcPr>
            <w:tcW w:type="dxa" w:w="10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Hazard / Risk</w:t>
            </w:r>
          </w:p>
        </w:tc>
        <w:tc>
          <w:tcPr>
            <w:tcW w:type="dxa" w:w="11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Is at Risk?</w:t>
            </w:r>
          </w:p>
        </w:tc>
        <w:tc>
          <w:tcPr>
            <w:tcW w:type="dxa" w:w="26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Existing Control Measures</w:t>
            </w:r>
          </w:p>
        </w:tc>
        <w:tc>
          <w:tcPr>
            <w:tcW w:type="dxa" w:w="55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55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Control Measures Required</w:t>
            </w:r>
          </w:p>
        </w:tc>
        <w:tc>
          <w:tcPr>
            <w:tcW w:type="dxa" w:w="55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55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0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Owner</w:t>
            </w:r>
          </w:p>
        </w:tc>
        <w:tc>
          <w:tcPr>
            <w:tcW w:type="dxa" w:w="10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Upper limb disorders (WRULD) from prolonged keyboard/mouse use without adequate breaks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Receptionists, administrative staff, GPs, practice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DSE assessment completed for all habitual users at induction; ergonomic keyboards and mice available; staff encouraged to take regular breaks; adjustable chairs provided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Install break reminder software (e.g. Workrave or similar); review DSE assessments annually and when workstations change; offer alternative input devices (vertical mice, wrist rests) on request; ensure 5-minute break from DSE every hour; include DSE awareness in induction checklist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Visual fatigue, headaches, and eye strain from prolonged screen use and poor screen positioning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DSE 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Monitor positioned at arm’s length and top of screen at eye level; window blinds available to reduce glare; screen brightness adjustable; eye test vouchers offered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Fund annual eye examinations for all DSE users (as required under Regulation 5); provide anti-glare screen filters where needed; ensure adequate task lighting; promote 20-20-20 rule (every 20 minutes, look at something 20 feet away for 20 seconds); update eye test policy to include corrective lenses reimbursement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Musculoskeletal back, neck, and shoulder pain from poor workstation setup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DSE users, particularly reception staff with shared workstations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DSE assessments include chair and desk height; adjustable chairs with lumbar support; monitor risers and document holders available; occupational health referral for persistent MSDs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Conduct DSE workstation audit of all shared workstations; provide sit-stand desk options where feasible; ensure locum and part-time staff can adjust workstations; display correct posture guidance at each workstation; track DSE-related sickness absence to identify trends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Home/remote working DSE risks from inadequate equipment or workspace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Staff working from home (admin, GP telephone consultations, practice manager)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Home working DSE self-assessment form; laptops provided with guidance on setup; staff can request additional equipment (monitor, keyboard, chair)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Review home working DSE assessments annually; provide funded equipment package for regular home workers (separate keyboard, mouse, monitor stand); include home workers in DSE training; ensure managers check in on home workers’ physical workspace during one-to-ones; update home working policy to include DSE provisions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Stress and mental fatigue from prolonged screen-based work without variation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Administrative and reception staff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Job roles designed to include variety of tasks; breaks encouraged; supportive management; Employee Assistance Programme available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Review workload to ensure adequate task variation; encourage micro-breaks throughout the day; consider job enrichment or rotation for roles with very high DSE use; ensure screen-based workers have access to natural light; monitor stress levels through annual staff survey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</w:tbl>
    <w:p>
      <w:r>
        <w:br w:type="page"/>
      </w:r>
    </w:p>
    <w:p>
      <w:pPr>
        <w:pBdr>
          <w:bottom w:val="single" w:color="D4AF37" w:sz="8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6. Assessment Sign-Off</w:t>
      </w:r>
    </w:p>
    <w:p>
      <w:pPr>
        <w:spacing w:after="200" w:before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risk assessment has been reviewed and approved by the following authorised persons. It shall be reviewed at least annually, or sooner if there is a significant change in work practices, legislation, or following an incident.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3300"/>
      </w:tblGrid>
      <w:tr>
        <w:tc>
          <w:tcPr>
            <w:tcW w:type="dxa" w:w="34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Name</w:t>
            </w:r>
          </w:p>
        </w:tc>
        <w:tc>
          <w:tcPr>
            <w:tcW w:type="dxa" w:w="33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Assessor: [Insert Name]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Practice Manager: [Insert Name]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Senior Partner / Lead GP: [Insert Name]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 &amp; Safety Lead: [Insert Name]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300"/>
      </w:pPr>
    </w:p>
    <w:p>
      <w:pPr>
        <w:pBdr>
          <w:bottom w:val="single" w:color="D4AF37" w:sz="8" w:space="1"/>
        </w:pBdr>
        <w:spacing w:after="20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Date]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Name]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Initial issue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300"/>
      </w:pPr>
    </w:p>
    <w:p>
      <w:pPr>
        <w:pBdr>
          <w:top w:val="single" w:color="D4AF37" w:sz="4" w:space="1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B1D3A"/>
          <w:sz w:val="18"/>
          <w:szCs w:val="18"/>
        </w:rPr>
        <w:t xml:space="preserve">Prepared by Barker Scott  |  barker-scott.co.uk  |  Health &amp; Safety Consultants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This document is confidential and intended solely for use by the named practice. Unauthorised reproduction or distribution is prohibited.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spacing w:before="80"/>
    </w:pPr>
    <w:r>
      <w:rPr>
        <w:rFonts w:ascii="Arial" w:cs="Arial" w:eastAsia="Arial" w:hAnsi="Arial"/>
        <w:color w:val="888888"/>
        <w:sz w:val="14"/>
        <w:szCs w:val="14"/>
      </w:rPr>
      <w:t xml:space="preserve">BS-RA-DSE-007  |  Display Screen Equipment (DSE)  |  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4"/>
        <w:szCs w:val="14"/>
      </w:rPr>
      <w:t xml:space="preserve">  |  Barker Scott ©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0"/>
        <w:szCs w:val="20"/>
      </w:rPr>
      <w:t xml:space="preserve">  |  </w:t>
    </w:r>
    <w:r>
      <w:rPr>
        <w:rFonts w:ascii="Arial" w:cs="Arial" w:eastAsia="Arial" w:hAnsi="Arial"/>
        <w:color w:val="0B1D3A"/>
        <w:sz w:val="20"/>
        <w:szCs w:val="20"/>
      </w:rPr>
      <w:t xml:space="preserve">Health &amp; Safety Consultants</w:t>
    </w:r>
  </w:p>
  <w:p>
    <w:pPr>
      <w:pBdr>
        <w:bottom w:val="single" w:color="D4AF37" w:sz="6" w:space="1"/>
      </w:pBdr>
      <w:spacing w:after="4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barker-scott.co.uk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B1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2026-05-15T12:28:36.396Z</dcterms:created>
  <dcterms:modified xsi:type="dcterms:W3CDTF">2026-05-15T12:28:36.396Z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