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B1D3A"/>
          <w:sz w:val="40"/>
          <w:szCs w:val="40"/>
        </w:rPr>
        <w:t xml:space="preserve">RISK ASSESSMENT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AF37"/>
          <w:sz w:val="30"/>
          <w:szCs w:val="30"/>
        </w:rPr>
        <w:t xml:space="preserve">FIRE SAFETY</w:t>
      </w:r>
    </w:p>
    <w:p>
      <w:pPr>
        <w:pBdr>
          <w:bottom w:val="single" w:color="D4AF37" w:sz="8" w:space="1"/>
        </w:pBdr>
        <w:spacing w:after="200" w:before="20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00"/>
        <w:gridCol w:w="2800"/>
        <w:gridCol w:w="4000"/>
      </w:tblGrid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BS-RA-FS-003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Name], [Insert Job Title]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 – 12 months from assessment]</w:t>
            </w:r>
          </w:p>
        </w:tc>
      </w:tr>
      <w:tr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Name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Practice Name]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Name], [Insert Job Title]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 identify fire hazards within the GP practice premises, evaluate the risk to persons, and establish control measures to prevent fire and ensure safe evacuation in the event of a fire, in compliance with the Regulatory Reform (Fire Safety) Order 2005.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2. Scope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areas of the practice premises including clinical rooms, reception, waiting areas, staff rooms, storage areas, plant rooms, and external access/egress points. Applies to all staff, patients, visitors, contractors, and persons with disabilities.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3. Applicable Legislation and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Regulatory Reform (Fire Safety) Order 2005 (Articles 8–22)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Health and Safety at Work etc. Act 1974 (Section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Management of Health and Safety at Work Regulations 1999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Building Regulations 2010 (Part B – Fire Safety)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BS 5839 Fire Detection and Fire Alarm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BS 5266 Emergency 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Health Technical Memorandum 05-01: Managing Healthcare Fire Safety (Department of Health)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Equality Act 2010 (duty to make reasonable adjustments for disabled persons in evacuation)</w:t>
      </w:r>
    </w:p>
    <w:p>
      <w:pPr>
        <w:pBdr>
          <w:bottom w:val="single" w:color="D4AF37" w:sz="8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4. Risk Rating Matrix (Likelihood × Severity)</w:t>
      </w:r>
    </w:p>
    <w:p>
      <w:pPr>
        <w:spacing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 = Likelihood (1–5)  |  S = Severity (1–5)  |  Rating = L × 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Low (1–4)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Medium (5–11)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High (12–25)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 / Severity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1 - Negligible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2 - Minor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3 - Moderate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4 - Major</w:t>
            </w:r>
          </w:p>
        </w:tc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5 - Catastrophic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1 - Very Unlikely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2 - Unlikely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6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3 -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27AE60"/>
                <w:sz w:val="14"/>
                <w:szCs w:val="14"/>
              </w:rPr>
              <w:t xml:space="preserve">
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6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9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4 - 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16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  <w:tr>
        <w:tc>
          <w:tcPr>
            <w:tcW w:type="dxa" w:w="1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5 - Almost 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39C12"/>
                <w:sz w:val="14"/>
                <w:szCs w:val="14"/>
              </w:rPr>
              <w:t xml:space="preserve">
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20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25</w:t>
            </w:r>
            <w:r>
              <w:rPr>
                <w:rFonts w:ascii="Arial" w:cs="Arial" w:eastAsia="Arial" w:hAnsi="Arial"/>
                <w:color w:val="E74C3C"/>
                <w:sz w:val="14"/>
                <w:szCs w:val="14"/>
              </w:rPr>
              <w:t xml:space="preserve">
High</w:t>
            </w:r>
          </w:p>
        </w:tc>
      </w:tr>
    </w:tbl>
    <w:p>
      <w:pPr>
        <w:pBdr>
          <w:bottom w:val="single" w:color="D4AF37" w:sz="8" w:space="1"/>
        </w:pBdr>
        <w:spacing w:after="200" w:before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1D3A"/>
        </w:rPr>
        <w:t xml:space="preserve">5. Risk Assessment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600"/>
        <w:gridCol w:w="550"/>
        <w:gridCol w:w="550"/>
        <w:gridCol w:w="700"/>
        <w:gridCol w:w="2800"/>
        <w:gridCol w:w="550"/>
        <w:gridCol w:w="550"/>
        <w:gridCol w:w="700"/>
        <w:gridCol w:w="1000"/>
        <w:gridCol w:w="1000"/>
      </w:tblGrid>
      <w:tr>
        <w:tc>
          <w:tcPr>
            <w:tcW w:type="dxa" w:w="2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INITIAL RISK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3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 / Risk</w:t>
            </w:r>
          </w:p>
        </w:tc>
        <w:tc>
          <w:tcPr>
            <w:tcW w:type="dxa" w:w="11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Is at Risk?</w:t>
            </w:r>
          </w:p>
        </w:tc>
        <w:tc>
          <w:tcPr>
            <w:tcW w:type="dxa" w:w="26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Control Measures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Control Measures Required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5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Owner</w:t>
            </w:r>
          </w:p>
        </w:tc>
        <w:tc>
          <w:tcPr>
            <w:tcW w:type="dxa" w:w="10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Accumulation of combustible materials in storage rooms, corridors, and clinical areas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building occupants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Housekeeping policy; monthly walk-round inspection; storage rooms kept locked; combustible materials stored away from ignition sources; waste removed daily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Quarterly fire safety walk-round with documented findings; reduce paper storage through digitisation programme; install fire-resistant storage for medical records; ensure corridors remain clear at all times with daily checks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Blocked or inadequate fire escape routes and final exits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building occupants, particularly mobility-impaired patients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Fire escape routes clearly signed; emergency lighting installed and tested monthly; fire exits checked daily; Personal Emergency Evacuation Plans (PEEPs) for known mobility-impaired regular patients and disabled staff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Six-monthly fire escape route audit; ensure all fire doors close fully and are not wedged open; update PEEPs annually or when patient/staff circumstances change; install automatic door closers linked to fire alarm; review signage annually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Failure or absence of fire detection, alarm, and suppression systems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building occupants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Automatic fire detection system to BS 5839 with smoke and heat detectors; weekly alarm test; six-monthly service by competent contractor; fire extinguishers serviced annually; fire alarm zones mapped to building plan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Upgrade to L1 category fire detection if not already in place; install fire alarm system monitoring linked to Alarm Receiving Centre (ARC); ensure all staff know alarm zone locations; maintain fire alarm log book with all tests and defects recorded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Electrical faults from medical equipment, IT systems, or building installations causing ignition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building occupants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Five-yearly fixed wiring inspection (EICR); PAT testing of portable appliances annually; visual inspection of equipment before use; defective equipment withdrawn from service and labelled; no personal electrical equipment policy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Maintain PAT testing register with next-test dates; ensure no multi-plug adaptors in use; implement thermal imaging survey of electrical distribution boards annually; staff training on recognising electrical faults; report electrical defects immediately via maintenance log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Staff unaware of fire procedures, evacuation routes, or fire extinguisher 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building occupants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Fire safety induction for new staff; annual fire safety training; fire evacuation drill conducted six-monthly; fire action notices displayed; designated fire wardens appointed per floor/area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 fire warden training is refreshed annually; conduct unannounced fire drills with debrief; test knowledge of fire procedures in annual appraisals; display evacuation plan maps at key locations; maintain fire training matrix with attendance records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Name]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[Insert Date]</w:t>
            </w:r>
          </w:p>
        </w:tc>
      </w:tr>
    </w:tbl>
    <w:p>
      <w:r>
        <w:br w:type="page"/>
      </w:r>
    </w:p>
    <w:p>
      <w:pPr>
        <w:pBdr>
          <w:bottom w:val="single" w:color="D4AF37" w:sz="8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B1D3A"/>
        </w:rPr>
        <w:t xml:space="preserve">6. Assessment Sign-Off</w:t>
      </w:r>
    </w:p>
    <w:p>
      <w:pPr>
        <w:spacing w:after="200" w:before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risk assessment has been reviewed and approved by the following authorised persons. It shall be reviewed at least annually, or sooner if there is a significant change in work practices, legislation, or following an incident.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300"/>
      </w:tblGrid>
      <w:tr>
        <w:tc>
          <w:tcPr>
            <w:tcW w:type="dxa" w:w="34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Name</w:t>
            </w:r>
          </w:p>
        </w:tc>
        <w:tc>
          <w:tcPr>
            <w:tcW w:type="dxa" w:w="33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Assessor: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Practice Manager: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Partner / Lead GP: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&amp; Safety Lead: [Insert Name]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bottom w:val="single" w:color="D4AF37" w:sz="8" w:space="1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0B1D3A" w:sz="1"/>
              <w:left w:val="single" w:color="0B1D3A" w:sz="1"/>
              <w:bottom w:val="single" w:color="0B1D3A" w:sz="1"/>
              <w:right w:val="single" w:color="0B1D3A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[Insert Name]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Initial 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300"/>
      </w:pPr>
    </w:p>
    <w:p>
      <w:pPr>
        <w:pBdr>
          <w:top w:val="single" w:color="D4AF37" w:sz="4" w:space="1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B1D3A"/>
          <w:sz w:val="18"/>
          <w:szCs w:val="18"/>
        </w:rPr>
        <w:t xml:space="preserve">Prepared by Barker Scott  |  barker-scott.co.uk  |  Health &amp; Safety Consultants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This document is confidential and intended solely for use by the named practice. Unauthorised reproduction or distribution is prohibited.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spacing w:before="80"/>
    </w:pPr>
    <w:r>
      <w:rPr>
        <w:rFonts w:ascii="Arial" w:cs="Arial" w:eastAsia="Arial" w:hAnsi="Arial"/>
        <w:color w:val="888888"/>
        <w:sz w:val="14"/>
        <w:szCs w:val="14"/>
      </w:rPr>
      <w:t xml:space="preserve">BS-RA-FS-003  |  Fire Safety  |  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 |  Barker Scott ©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color w:val="0B1D3A"/>
        <w:sz w:val="20"/>
        <w:szCs w:val="20"/>
      </w:rPr>
      <w:t xml:space="preserve">Health &amp; Safety Consultants</w:t>
    </w:r>
  </w:p>
  <w:p>
    <w:pPr>
      <w:pBdr>
        <w:bottom w:val="single" w:color="D4AF37" w:sz="6" w:space="1"/>
      </w:pBdr>
      <w:spacing w:after="4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barker-scott.co.uk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2026-05-15T12:28:36.048Z</dcterms:created>
  <dcterms:modified xsi:type="dcterms:W3CDTF">2026-05-15T12:28:36.048Z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