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0B1D3A"/>
          <w:sz w:val="40"/>
          <w:szCs w:val="40"/>
        </w:rPr>
        <w:t xml:space="preserve">RISK ASSESSMENT</w:t>
      </w:r>
    </w:p>
    <w:p>
      <w:pPr>
        <w:spacing w:after="60"/>
        <w:jc w:val="center"/>
      </w:pPr>
      <w:r>
        <w:rPr>
          <w:rFonts w:ascii="Arial" w:cs="Arial" w:eastAsia="Arial" w:hAnsi="Arial"/>
          <w:b/>
          <w:bCs/>
          <w:color w:val="D4AF37"/>
          <w:sz w:val="30"/>
          <w:szCs w:val="30"/>
        </w:rPr>
        <w:t xml:space="preserve">INFECTION PREVENTION AND CONTROL</w:t>
      </w:r>
    </w:p>
    <w:p>
      <w:pPr>
        <w:pBdr>
          <w:bottom w:val="single" w:color="D4AF37" w:sz="8" w:space="1"/>
        </w:pBdr>
        <w:spacing w:after="200" w:before="200"/>
      </w:pP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800"/>
        <w:gridCol w:w="4000"/>
      </w:tblGrid>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Reference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BS-RA-IPC-001</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 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Date]</w:t>
            </w:r>
          </w:p>
        </w:tc>
      </w:tr>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Assessed By</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Name], [Insert Job Title]</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Date – 12 months from assessment]</w:t>
            </w:r>
          </w:p>
        </w:tc>
      </w:tr>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Practice Name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Practice Name]</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Name], [Insert Job Title]</w:t>
            </w:r>
          </w:p>
        </w:tc>
      </w:tr>
    </w:tbl>
    <w:p>
      <w:pPr>
        <w:spacing w:before="300"/>
      </w:pPr>
    </w:p>
    <w:p>
      <w:pPr>
        <w:pStyle w:val="Heading2"/>
      </w:pPr>
      <w:r>
        <w:rPr>
          <w:rFonts w:ascii="Arial" w:cs="Arial" w:eastAsia="Arial" w:hAnsi="Arial"/>
          <w:b/>
          <w:bCs/>
          <w:color w:val="0B1D3A"/>
        </w:rPr>
        <w:t xml:space="preserve">1. Purpose</w:t>
      </w:r>
    </w:p>
    <w:p>
      <w:pPr>
        <w:spacing w:after="100"/>
      </w:pPr>
      <w:r>
        <w:rPr>
          <w:rFonts w:ascii="Arial" w:cs="Arial" w:eastAsia="Arial" w:hAnsi="Arial"/>
          <w:color w:val="333333"/>
          <w:sz w:val="19"/>
          <w:szCs w:val="19"/>
        </w:rPr>
        <w:t xml:space="preserve">To identify, assess, and mitigate risks associated with healthcare-associated infections (HCAIs) within the GP practice, ensuring compliance with national infection prevention standards and safeguarding patients, staff, and visitors.</w:t>
      </w:r>
    </w:p>
    <w:p>
      <w:pPr>
        <w:pStyle w:val="Heading2"/>
      </w:pPr>
      <w:r>
        <w:rPr>
          <w:rFonts w:ascii="Arial" w:cs="Arial" w:eastAsia="Arial" w:hAnsi="Arial"/>
          <w:b/>
          <w:bCs/>
          <w:color w:val="0B1D3A"/>
        </w:rPr>
        <w:t xml:space="preserve">2. Scope</w:t>
      </w:r>
    </w:p>
    <w:p>
      <w:pPr>
        <w:spacing w:after="100"/>
      </w:pPr>
      <w:r>
        <w:rPr>
          <w:rFonts w:ascii="Arial" w:cs="Arial" w:eastAsia="Arial" w:hAnsi="Arial"/>
          <w:color w:val="333333"/>
          <w:sz w:val="19"/>
          <w:szCs w:val="19"/>
        </w:rPr>
        <w:t xml:space="preserve">All clinical and non-clinical areas of the practice, including consulting rooms, treatment rooms, waiting areas, toilets, staff kitchen, and any areas where clinical waste is handled or stored. Applies to all staff, locums, visiting professionals, contractors, and patients.</w:t>
      </w:r>
    </w:p>
    <w:p>
      <w:pPr>
        <w:pStyle w:val="Heading2"/>
      </w:pPr>
      <w:r>
        <w:rPr>
          <w:rFonts w:ascii="Arial" w:cs="Arial" w:eastAsia="Arial" w:hAnsi="Arial"/>
          <w:b/>
          <w:bCs/>
          <w:color w:val="0B1D3A"/>
        </w:rPr>
        <w:t xml:space="preserve">3. Applicable Legislation and Guidance</w:t>
      </w:r>
    </w:p>
    <w:p>
      <w:pPr>
        <w:pStyle w:val="ListParagraph"/>
        <w:numPr>
          <w:ilvl w:val="0"/>
          <w:numId w:val="2"/>
        </w:numPr>
        <w:spacing w:after="40" w:before="40"/>
      </w:pPr>
      <w:r>
        <w:rPr>
          <w:rFonts w:ascii="Arial" w:cs="Arial" w:eastAsia="Arial" w:hAnsi="Arial"/>
          <w:color w:val="333333"/>
          <w:sz w:val="18"/>
          <w:szCs w:val="18"/>
        </w:rPr>
        <w:t xml:space="preserve">Health and Safety at Work etc. Act 1974 (Sections 2, 3 and 4)</w:t>
      </w:r>
    </w:p>
    <w:p>
      <w:pPr>
        <w:pStyle w:val="ListParagraph"/>
        <w:numPr>
          <w:ilvl w:val="0"/>
          <w:numId w:val="2"/>
        </w:numPr>
        <w:spacing w:after="40" w:before="40"/>
      </w:pPr>
      <w:r>
        <w:rPr>
          <w:rFonts w:ascii="Arial" w:cs="Arial" w:eastAsia="Arial" w:hAnsi="Arial"/>
          <w:color w:val="333333"/>
          <w:sz w:val="18"/>
          <w:szCs w:val="18"/>
        </w:rPr>
        <w:t xml:space="preserve">The Health and Social Care Act 2008 (Regulated Activities) Regulations 2014 (Regulation 12 – Safe Care and Treatment; Regulation 15 – Premises and Equipment)</w:t>
      </w:r>
    </w:p>
    <w:p>
      <w:pPr>
        <w:pStyle w:val="ListParagraph"/>
        <w:numPr>
          <w:ilvl w:val="0"/>
          <w:numId w:val="2"/>
        </w:numPr>
        <w:spacing w:after="40" w:before="40"/>
      </w:pPr>
      <w:r>
        <w:rPr>
          <w:rFonts w:ascii="Arial" w:cs="Arial" w:eastAsia="Arial" w:hAnsi="Arial"/>
          <w:color w:val="333333"/>
          <w:sz w:val="18"/>
          <w:szCs w:val="18"/>
        </w:rPr>
        <w:t xml:space="preserve">Control of Substances Hazardous to Health Regulations 2002 (COSHH) (as amended)</w:t>
      </w:r>
    </w:p>
    <w:p>
      <w:pPr>
        <w:pStyle w:val="ListParagraph"/>
        <w:numPr>
          <w:ilvl w:val="0"/>
          <w:numId w:val="2"/>
        </w:numPr>
        <w:spacing w:after="40" w:before="40"/>
      </w:pPr>
      <w:r>
        <w:rPr>
          <w:rFonts w:ascii="Arial" w:cs="Arial" w:eastAsia="Arial" w:hAnsi="Arial"/>
          <w:color w:val="333333"/>
          <w:sz w:val="18"/>
          <w:szCs w:val="18"/>
        </w:rPr>
        <w:t xml:space="preserve">The Management of Health and Safety at Work Regulations 1999 (Regulation 3 – Risk Assessment)</w:t>
      </w:r>
    </w:p>
    <w:p>
      <w:pPr>
        <w:pStyle w:val="ListParagraph"/>
        <w:numPr>
          <w:ilvl w:val="0"/>
          <w:numId w:val="2"/>
        </w:numPr>
        <w:spacing w:after="40" w:before="40"/>
      </w:pPr>
      <w:r>
        <w:rPr>
          <w:rFonts w:ascii="Arial" w:cs="Arial" w:eastAsia="Arial" w:hAnsi="Arial"/>
          <w:color w:val="333333"/>
          <w:sz w:val="18"/>
          <w:szCs w:val="18"/>
        </w:rPr>
        <w:t xml:space="preserve">Personal Protective Equipment at Work Regulations 1992 (as amended 2022)</w:t>
      </w:r>
    </w:p>
    <w:p>
      <w:pPr>
        <w:pStyle w:val="ListParagraph"/>
        <w:numPr>
          <w:ilvl w:val="0"/>
          <w:numId w:val="2"/>
        </w:numPr>
        <w:spacing w:after="40" w:before="40"/>
      </w:pPr>
      <w:r>
        <w:rPr>
          <w:rFonts w:ascii="Arial" w:cs="Arial" w:eastAsia="Arial" w:hAnsi="Arial"/>
          <w:color w:val="333333"/>
          <w:sz w:val="18"/>
          <w:szCs w:val="18"/>
        </w:rPr>
        <w:t xml:space="preserve">Environmental Protection Act 1990 (Duty of Care for Waste)</w:t>
      </w:r>
    </w:p>
    <w:p>
      <w:pPr>
        <w:pStyle w:val="ListParagraph"/>
        <w:numPr>
          <w:ilvl w:val="0"/>
          <w:numId w:val="2"/>
        </w:numPr>
        <w:spacing w:after="40" w:before="40"/>
      </w:pPr>
      <w:r>
        <w:rPr>
          <w:rFonts w:ascii="Arial" w:cs="Arial" w:eastAsia="Arial" w:hAnsi="Arial"/>
          <w:color w:val="333333"/>
          <w:sz w:val="18"/>
          <w:szCs w:val="18"/>
        </w:rPr>
        <w:t xml:space="preserve">Hazardous Waste (England and Wales) Regulations 2005</w:t>
      </w:r>
    </w:p>
    <w:p>
      <w:pPr>
        <w:pStyle w:val="ListParagraph"/>
        <w:numPr>
          <w:ilvl w:val="0"/>
          <w:numId w:val="2"/>
        </w:numPr>
        <w:spacing w:after="40" w:before="40"/>
      </w:pPr>
      <w:r>
        <w:rPr>
          <w:rFonts w:ascii="Arial" w:cs="Arial" w:eastAsia="Arial" w:hAnsi="Arial"/>
          <w:color w:val="333333"/>
          <w:sz w:val="18"/>
          <w:szCs w:val="18"/>
        </w:rPr>
        <w:t xml:space="preserve">The Code of Practice on the Prevention and Control of Infections (the ‘Hygiene Code’) – Department of Health 2015</w:t>
      </w:r>
    </w:p>
    <w:p>
      <w:pPr>
        <w:pStyle w:val="ListParagraph"/>
        <w:numPr>
          <w:ilvl w:val="0"/>
          <w:numId w:val="2"/>
        </w:numPr>
        <w:spacing w:after="40" w:before="40"/>
      </w:pPr>
      <w:r>
        <w:rPr>
          <w:rFonts w:ascii="Arial" w:cs="Arial" w:eastAsia="Arial" w:hAnsi="Arial"/>
          <w:color w:val="333333"/>
          <w:sz w:val="18"/>
          <w:szCs w:val="18"/>
        </w:rPr>
        <w:t xml:space="preserve">NHS England Standard Infection Control Precautions (SICPs) 2023</w:t>
      </w:r>
    </w:p>
    <w:p>
      <w:pPr>
        <w:pBdr>
          <w:bottom w:val="single" w:color="D4AF37" w:sz="8" w:space="1"/>
        </w:pBdr>
        <w:spacing w:after="200" w:before="200"/>
      </w:pPr>
    </w:p>
    <w:p>
      <w:pPr>
        <w:pStyle w:val="Heading2"/>
      </w:pPr>
      <w:r>
        <w:rPr>
          <w:rFonts w:ascii="Arial" w:cs="Arial" w:eastAsia="Arial" w:hAnsi="Arial"/>
          <w:b/>
          <w:bCs/>
          <w:color w:val="0B1D3A"/>
        </w:rPr>
        <w:t xml:space="preserve">4. Risk Rating Matrix (Likelihood × Severity)</w:t>
      </w:r>
    </w:p>
    <w:p>
      <w:pPr>
        <w:spacing w:after="100"/>
      </w:pPr>
      <w:r>
        <w:rPr>
          <w:rFonts w:ascii="Arial" w:cs="Arial" w:eastAsia="Arial" w:hAnsi="Arial"/>
          <w:color w:val="555555"/>
          <w:sz w:val="18"/>
          <w:szCs w:val="18"/>
        </w:rPr>
        <w:t xml:space="preserve">L = Likelihood (1–5)  |  S = Severity (1–5)  |  Rating = L × S</w:t>
      </w:r>
    </w:p>
    <w:p>
      <w:pPr>
        <w:spacing w:after="60"/>
      </w:pPr>
      <w:r>
        <w:rPr>
          <w:rFonts w:ascii="Arial" w:cs="Arial" w:eastAsia="Arial" w:hAnsi="Arial"/>
          <w:b/>
          <w:bCs/>
          <w:color w:val="27AE60"/>
          <w:sz w:val="18"/>
          <w:szCs w:val="18"/>
        </w:rPr>
        <w:t xml:space="preserve">Low (1–4)</w:t>
      </w:r>
      <w:r>
        <w:rPr>
          <w:rFonts w:ascii="Arial" w:cs="Arial" w:eastAsia="Arial" w:hAnsi="Arial"/>
          <w:sz w:val="18"/>
          <w:szCs w:val="18"/>
        </w:rPr>
        <w:t xml:space="preserve">    </w:t>
      </w:r>
      <w:r>
        <w:rPr>
          <w:rFonts w:ascii="Arial" w:cs="Arial" w:eastAsia="Arial" w:hAnsi="Arial"/>
          <w:b/>
          <w:bCs/>
          <w:color w:val="F39C12"/>
          <w:sz w:val="18"/>
          <w:szCs w:val="18"/>
        </w:rPr>
        <w:t xml:space="preserve">Medium (5–11)</w:t>
      </w:r>
      <w:r>
        <w:rPr>
          <w:rFonts w:ascii="Arial" w:cs="Arial" w:eastAsia="Arial" w:hAnsi="Arial"/>
          <w:sz w:val="18"/>
          <w:szCs w:val="18"/>
        </w:rPr>
        <w:t xml:space="preserve">    </w:t>
      </w:r>
      <w:r>
        <w:rPr>
          <w:rFonts w:ascii="Arial" w:cs="Arial" w:eastAsia="Arial" w:hAnsi="Arial"/>
          <w:b/>
          <w:bCs/>
          <w:color w:val="E74C3C"/>
          <w:sz w:val="18"/>
          <w:szCs w:val="18"/>
        </w:rPr>
        <w:t xml:space="preserve">High (12–25)</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Likelihood / Severity</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1 - Negligible</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2 - Minor</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3 - Moderate</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4 - Major</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5 - Catastrophic</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1 - Very Unlikely</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4</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5</w:t>
            </w:r>
            <w:r>
              <w:rPr>
                <w:rFonts w:ascii="Arial" w:cs="Arial" w:eastAsia="Arial" w:hAnsi="Arial"/>
                <w:color w:val="F39C12"/>
                <w:sz w:val="14"/>
                <w:szCs w:val="14"/>
              </w:rPr>
              <w:t xml:space="preserve">
Medium</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2 - Unlikely</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4</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6</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8</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3 - Possible</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6</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9</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12</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4 - Likely</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4</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8</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12</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16</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5 - Almost Certain</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5</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25</w:t>
            </w:r>
            <w:r>
              <w:rPr>
                <w:rFonts w:ascii="Arial" w:cs="Arial" w:eastAsia="Arial" w:hAnsi="Arial"/>
                <w:color w:val="E74C3C"/>
                <w:sz w:val="14"/>
                <w:szCs w:val="14"/>
              </w:rPr>
              <w:t xml:space="preserve">
High</w:t>
            </w:r>
          </w:p>
        </w:tc>
      </w:tr>
    </w:tbl>
    <w:p>
      <w:pPr>
        <w:pBdr>
          <w:bottom w:val="single" w:color="D4AF37" w:sz="8" w:space="1"/>
        </w:pBdr>
        <w:spacing w:after="200" w:before="200"/>
      </w:pPr>
    </w:p>
    <w:p>
      <w:pPr>
        <w:pStyle w:val="Heading2"/>
        <w:spacing w:after="120" w:before="200"/>
      </w:pPr>
      <w:r>
        <w:rPr>
          <w:rFonts w:ascii="Arial" w:cs="Arial" w:eastAsia="Arial" w:hAnsi="Arial"/>
          <w:b/>
          <w:bCs/>
          <w:color w:val="0B1D3A"/>
        </w:rPr>
        <w:t xml:space="preserve">5. Risk Assessment</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600"/>
        <w:gridCol w:w="550"/>
        <w:gridCol w:w="550"/>
        <w:gridCol w:w="700"/>
        <w:gridCol w:w="2800"/>
        <w:gridCol w:w="550"/>
        <w:gridCol w:w="550"/>
        <w:gridCol w:w="700"/>
        <w:gridCol w:w="1000"/>
        <w:gridCol w:w="1000"/>
      </w:tblGrid>
      <w:tr>
        <w:tc>
          <w:tcPr>
            <w:tcW w:type="dxa" w:w="2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1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2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800"/>
            <w:gridSpan w:val="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D4AF37"/>
                <w:sz w:val="18"/>
                <w:szCs w:val="18"/>
              </w:rPr>
              <w:t xml:space="preserve">INITIAL RISK</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800"/>
            <w:gridSpan w:val="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D4AF37"/>
                <w:sz w:val="18"/>
                <w:szCs w:val="18"/>
              </w:rPr>
              <w:t xml:space="preserve">RESIDUAL RISK</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2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Hazard / Risk</w:t>
            </w:r>
          </w:p>
        </w:tc>
        <w:tc>
          <w:tcPr>
            <w:tcW w:type="dxa" w:w="11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Is at Risk?</w:t>
            </w:r>
          </w:p>
        </w:tc>
        <w:tc>
          <w:tcPr>
            <w:tcW w:type="dxa" w:w="2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Existing Control Measures</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7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Additional Control Measures Required</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7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Owner</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Inadequate hand hygiene compliance among clinical and non-clinical staff</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 staff, visitors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Hand hygiene policy in place; alcohol gel dispensers at point of care; annual hand hygiene training; periodic audits using WHO 5 Moments framework</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3</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Introduce monthly observational audits with feedback to individuals; install visual reminder signage; implement peer-to-peer hand hygiene champions programme; quarterly compliance reports to Practice Manager</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4</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Cross-contamination from inadequately decontaminated clinical equipment (e.g. examination couches, diagnostic instruments, specula)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 clinical staff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Equipment cleaning schedule; single-use items where possible; decontamination protocols per manufacturer guidance; staff trained on decontamination procedures</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Introduce decontamination log with sign-off; implement quarterly spot-check audits; review and update cleaning protocols annually against latest PHE guidance; ensure adequate stock of single-use alternatives</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4</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Incorrect segregation, storage, or disposal of clinical waste (including sharps)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Staff, cleaning contractors, waste handlers, public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Colour-coded waste bins in all clinical areas; sharps containers to BS 7320 standard; clinical waste contractor (licensed carrier); staff trained on waste segregation at induction and annually</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Monthly waste segregation audits; replace sharps bins when two-thirds full; display waste segregation posters; review waste management policy annually; incident reporting for any waste-related near misses</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4</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Failure to manage patients with suspected or confirmed communicable diseases (e.g. TB, COVID-19, measles)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 staff, visitors, wider community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Reception triage protocol for symptomatic patients; isolation room available; FFP3 respirators and PPE accessible; staff trained on donning/doffing; notification protocols for notifiable diseases under the Health Protection (Notification) Regulations 2010</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5</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Annual fit-testing for FFP3 masks; tabletop exercise on outbreak management annually; review signage for symptomatic patients at entrance; liaise with local Health Protection Team on updated protocols; ensure adequate PPE stockpile (minimum 4-week supply)</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5</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Inadequate cleaning of clinical and communal areas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 staff, visitors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Cleaning contract in place; cleaning schedules displayed; touch-point cleaning between patients in clinical rooms; quarterly cleaning audit by IPC lead</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2</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3</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Introduce enhanced cleaning schedules for high-touch surfaces (door handles, reception counters, shared equipment); use ATP bioluminescence testing quarterly; ensure cleaning contractor staff are trained to NHS cleaning standards</w:t>
            </w:r>
          </w:p>
        </w:tc>
        <w:tc>
          <w:tcPr>
            <w:tcW w:type="dxa" w:w="55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1</w:t>
            </w:r>
          </w:p>
        </w:tc>
        <w:tc>
          <w:tcPr>
            <w:tcW w:type="dxa" w:w="55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3</w:t>
            </w:r>
          </w:p>
        </w:tc>
        <w:tc>
          <w:tcPr>
            <w:tcW w:type="dxa" w:w="7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7"/>
                <w:szCs w:val="17"/>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bl>
    <w:p>
      <w:r>
        <w:br w:type="page"/>
      </w:r>
    </w:p>
    <w:p>
      <w:pPr>
        <w:pBdr>
          <w:bottom w:val="single" w:color="D4AF37" w:sz="8" w:space="1"/>
        </w:pBdr>
        <w:spacing w:after="200" w:before="200"/>
      </w:pPr>
    </w:p>
    <w:p>
      <w:pPr>
        <w:pStyle w:val="Heading2"/>
      </w:pPr>
      <w:r>
        <w:rPr>
          <w:rFonts w:ascii="Arial" w:cs="Arial" w:eastAsia="Arial" w:hAnsi="Arial"/>
          <w:b/>
          <w:bCs/>
          <w:color w:val="0B1D3A"/>
        </w:rPr>
        <w:t xml:space="preserve">6. Assessment Sign-Off</w:t>
      </w:r>
    </w:p>
    <w:p>
      <w:pPr>
        <w:spacing w:after="200" w:before="120"/>
      </w:pPr>
      <w:r>
        <w:rPr>
          <w:rFonts w:ascii="Arial" w:cs="Arial" w:eastAsia="Arial" w:hAnsi="Arial"/>
          <w:color w:val="333333"/>
          <w:sz w:val="19"/>
          <w:szCs w:val="19"/>
        </w:rPr>
        <w:t xml:space="preserve">This risk assessment has been reviewed and approved by the following authorised persons. It shall be reviewed at least annually, or sooner if there is a significant change in work practices, legislation, or following an incident.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c>
          <w:tcPr>
            <w:tcW w:type="dxa" w:w="34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3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 / Name</w:t>
            </w:r>
          </w:p>
        </w:tc>
        <w:tc>
          <w:tcPr>
            <w:tcW w:type="dxa" w:w="33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Assessor: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Practice Manager: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Senior Partner / Lead GP: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Health &amp; Safety Lead: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bl>
    <w:p>
      <w:pPr>
        <w:spacing w:before="300"/>
      </w:pPr>
    </w:p>
    <w:p>
      <w:pPr>
        <w:pBdr>
          <w:bottom w:val="single" w:color="D4AF37" w:sz="8" w:space="1"/>
        </w:pBdr>
        <w:spacing w:after="200" w:before="200"/>
      </w:pPr>
    </w:p>
    <w:p>
      <w:pPr>
        <w:spacing w:after="60" w:before="200"/>
      </w:pPr>
      <w:r>
        <w:rPr>
          <w:rFonts w:ascii="Arial" w:cs="Arial" w:eastAsia="Arial" w:hAnsi="Arial"/>
          <w:b/>
          <w:bCs/>
          <w:color w:val="0B1D3A"/>
          <w:sz w:val="22"/>
          <w:szCs w:val="22"/>
        </w:rPr>
        <w:t xml:space="preserve">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[Insert Date]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[Insert 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Initial issue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before="60"/>
        <w:jc w:val="center"/>
      </w:pPr>
      <w:r>
        <w:rPr>
          <w:rFonts w:ascii="Arial" w:cs="Arial" w:eastAsia="Arial" w:hAnsi="Arial"/>
          <w:i/>
          <w:iCs/>
          <w:color w:val="888888"/>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spacing w:before="80"/>
    </w:pPr>
    <w:r>
      <w:rPr>
        <w:rFonts w:ascii="Arial" w:cs="Arial" w:eastAsia="Arial" w:hAnsi="Arial"/>
        <w:color w:val="888888"/>
        <w:sz w:val="14"/>
        <w:szCs w:val="14"/>
      </w:rPr>
      <w:t xml:space="preserve">BS-RA-IPC-001  |  Infection Prevention and Control  |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color w:val="0B1D3A"/>
        <w:sz w:val="20"/>
        <w:szCs w:val="20"/>
      </w:rPr>
      <w:t xml:space="preserve">Health &amp; Safety Consultants</w:t>
    </w:r>
  </w:p>
  <w:p>
    <w:pPr>
      <w:pBdr>
        <w:bottom w:val="single" w:color="D4AF37" w:sz="6" w:space="1"/>
      </w:pBdr>
      <w:spacing w:after="40"/>
    </w:pPr>
    <w:r>
      <w:rPr>
        <w:rFonts w:ascii="Arial" w:cs="Arial" w:eastAsia="Arial" w:hAnsi="Arial"/>
        <w:i/>
        <w:iCs/>
        <w:color w:val="888888"/>
        <w:sz w:val="16"/>
        <w:szCs w:val="16"/>
      </w:rPr>
      <w:t xml:space="preserve">barker-scott.co.uk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1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2026-05-15T12:28:35.473Z</dcterms:created>
  <dcterms:modified xsi:type="dcterms:W3CDTF">2026-05-15T12:28:35.474Z</dcterms:modified>
</cp:coreProperties>
</file>

<file path=docProps/custom.xml><?xml version="1.0" encoding="utf-8"?>
<Properties xmlns="http://schemas.openxmlformats.org/officeDocument/2006/custom-properties" xmlns:vt="http://schemas.openxmlformats.org/officeDocument/2006/docPropsVTypes"/>
</file>