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LONE WORKING</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BS-RA-LW-006</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and mitigate risks to staff who work alone in or outside the GP practice premises, ensuring that lone workers are adequately protected and supported in accordance with health and safety legislation.</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situations where staff may work alone, including early morning/late evening surgery sessions, home visits, out-of-hours cover, extended hours clinics, administrative work outside normal hours, and cleaning or maintenance activities. Applies to GPs, nurses, healthcare assistants, reception staff, cleaners, and any visiting professionals working alone on practice premises or in the community.</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Health and Safety at Work etc. Act 1974 (Sections 2 and 3)</w:t>
      </w:r>
    </w:p>
    <w:p>
      <w:pPr>
        <w:pStyle w:val="ListParagraph"/>
        <w:numPr>
          <w:ilvl w:val="0"/>
          <w:numId w:val="2"/>
        </w:numPr>
        <w:spacing w:after="40" w:before="40"/>
      </w:pPr>
      <w:r>
        <w:rPr>
          <w:rFonts w:ascii="Arial" w:cs="Arial" w:eastAsia="Arial" w:hAnsi="Arial"/>
          <w:color w:val="333333"/>
          <w:sz w:val="18"/>
          <w:szCs w:val="18"/>
        </w:rPr>
        <w:t xml:space="preserve">The Management of Health and Safety at Work Regulations 1999 (Regulations 3 and 8)</w:t>
      </w:r>
    </w:p>
    <w:p>
      <w:pPr>
        <w:pStyle w:val="ListParagraph"/>
        <w:numPr>
          <w:ilvl w:val="0"/>
          <w:numId w:val="2"/>
        </w:numPr>
        <w:spacing w:after="40" w:before="40"/>
      </w:pPr>
      <w:r>
        <w:rPr>
          <w:rFonts w:ascii="Arial" w:cs="Arial" w:eastAsia="Arial" w:hAnsi="Arial"/>
          <w:color w:val="333333"/>
          <w:sz w:val="18"/>
          <w:szCs w:val="18"/>
        </w:rPr>
        <w:t xml:space="preserve">The Workplace (Health, Safety and Welfare) Regulations 1992</w:t>
      </w:r>
    </w:p>
    <w:p>
      <w:pPr>
        <w:pStyle w:val="ListParagraph"/>
        <w:numPr>
          <w:ilvl w:val="0"/>
          <w:numId w:val="2"/>
        </w:numPr>
        <w:spacing w:after="40" w:before="40"/>
      </w:pPr>
      <w:r>
        <w:rPr>
          <w:rFonts w:ascii="Arial" w:cs="Arial" w:eastAsia="Arial" w:hAnsi="Arial"/>
          <w:color w:val="333333"/>
          <w:sz w:val="18"/>
          <w:szCs w:val="18"/>
        </w:rPr>
        <w:t xml:space="preserve">Corporate Manslaughter and Corporate Homicide Act 2007</w:t>
      </w:r>
    </w:p>
    <w:p>
      <w:pPr>
        <w:pStyle w:val="ListParagraph"/>
        <w:numPr>
          <w:ilvl w:val="0"/>
          <w:numId w:val="2"/>
        </w:numPr>
        <w:spacing w:after="40" w:before="40"/>
      </w:pPr>
      <w:r>
        <w:rPr>
          <w:rFonts w:ascii="Arial" w:cs="Arial" w:eastAsia="Arial" w:hAnsi="Arial"/>
          <w:color w:val="333333"/>
          <w:sz w:val="18"/>
          <w:szCs w:val="18"/>
        </w:rPr>
        <w:t xml:space="preserve">Reporting of Injuries, Diseases and Dangerous Occurrences Regulations 2013 (RIDDOR)</w:t>
      </w:r>
    </w:p>
    <w:p>
      <w:pPr>
        <w:pStyle w:val="ListParagraph"/>
        <w:numPr>
          <w:ilvl w:val="0"/>
          <w:numId w:val="2"/>
        </w:numPr>
        <w:spacing w:after="40" w:before="40"/>
      </w:pPr>
      <w:r>
        <w:rPr>
          <w:rFonts w:ascii="Arial" w:cs="Arial" w:eastAsia="Arial" w:hAnsi="Arial"/>
          <w:color w:val="333333"/>
          <w:sz w:val="18"/>
          <w:szCs w:val="18"/>
        </w:rPr>
        <w:t xml:space="preserve">The Health and Social Care Act 2008 (Regulated Activities) Regulations 2014 (Regulation 12 – Safe Care and Treatment)</w:t>
      </w:r>
    </w:p>
    <w:p>
      <w:pPr>
        <w:pStyle w:val="ListParagraph"/>
        <w:numPr>
          <w:ilvl w:val="0"/>
          <w:numId w:val="2"/>
        </w:numPr>
        <w:spacing w:after="40" w:before="40"/>
      </w:pPr>
      <w:r>
        <w:rPr>
          <w:rFonts w:ascii="Arial" w:cs="Arial" w:eastAsia="Arial" w:hAnsi="Arial"/>
          <w:color w:val="333333"/>
          <w:sz w:val="18"/>
          <w:szCs w:val="18"/>
        </w:rPr>
        <w:t xml:space="preserve">Suzy Lamplugh Trust – National Working Alone Guidelines</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Clinical staff conducting home visits alone in unfamiliar or high-risk areas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GPs, community nurses, healthcare assistants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Lone worker policy; home visit risk assessment conducted before first visit; staff carry charged mobile phones; visit schedule shared with practice; buddy system for flagged addresses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3</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Issue GPS-enabled lone worker devices (e.g. SoloProtect) with man-down alert functionality; implement mandatory check-in/check-out protocol with reception; review patient risk flags monthly; ensure staff have access to local area risk information; conduct annual lone worker refresher training</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Staff working alone in the practice building outside normal hours (early morning, evening, weekends)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GPs, nursing staff, cleaners, administrative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Building alarm system; CCTV at entrance; external lighting; sign-in/sign-out book; emergency contact numbers displayed; staff trained on building security procedures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Install intercom/video entry system at all access points; ensure lone workers have panic button or duress alarm; implement buddy call system (scheduled welfare calls every 2 hours); restrict lone working to essential activities; review lone working incidents quarterly</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Medical emergency affecting the lone worker themselves (e.g. cardiac event, fall, faint)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Any lone worker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First aid kit available; staff health conditions disclosed to practice manager; emergency contact details held for all staff; mobile phones carried at all times during lone working</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Lone worker devices with automatic fall detection and SOS alert; ensure all lone workers have current first aid training; health surveillance for staff with underlying conditions who regularly work alone; conduct fitness-to-work-alone assessment annually; emergency protocol displayed in all areas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Inability to summon help or raise alarm during a security incident (intruder, break-in)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Any lone worker on premises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Monitored intruder alarm system; CCTV recording externally and in reception; doors secured with coded locks during out-of-hours; staff trained on lockdown procedure</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Review lockdown procedure annually; ensure panic alarms are regularly tested and functioning; consider upgrading to monitored CCTV with police response capability; staff to have direct line to local police; review physical security annually with crime prevention officer</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Psychosocial impact on staff regularly required to work alone (anxiety, stress, isolation)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All staff who regularly work alone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Supportive management culture; regular team meetings; staff wellbeing discussed in appraisals; Employee Assistance Programme (EAP) available</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Include lone working impact in annual staff wellbeing survey; offer rotation of lone working duties to avoid burden on same individuals; ensure management check-ins with regular lone workers; provide access to mental health first aiders; review lone working frequency and reduce where possible</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2</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2</w:t>
            </w:r>
          </w:p>
        </w:tc>
        <w:tc>
          <w:tcPr>
            <w:tcW w:type="dxa" w:w="7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BS-RA-LW-006  |  Lone Working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2026-05-15T12:28:36.354Z</dcterms:created>
  <dcterms:modified xsi:type="dcterms:W3CDTF">2026-05-15T12:28:36.354Z</dcterms:modified>
</cp:coreProperties>
</file>

<file path=docProps/custom.xml><?xml version="1.0" encoding="utf-8"?>
<Properties xmlns="http://schemas.openxmlformats.org/officeDocument/2006/custom-properties" xmlns:vt="http://schemas.openxmlformats.org/officeDocument/2006/docPropsVTypes"/>
</file>