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MANUAL HANDLING</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BS-RA-MH-004</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manual handling hazards within the GP practice, assess the level of risk to staff and others, and implement appropriate control measures to prevent musculoskeletal injuries, in compliance with manual handling legislation.</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manual handling activities across the practice including moving medical equipment, assisting patients with mobility difficulties, handling deliveries (medications, supplies, paper records), and general housekeeping tasks. Applies to all clinical and non-clinical staff.</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Manual Handling Operations Regulations 1992 (as amended 2002)</w:t>
      </w:r>
    </w:p>
    <w:p>
      <w:pPr>
        <w:pStyle w:val="ListParagraph"/>
        <w:numPr>
          <w:ilvl w:val="0"/>
          <w:numId w:val="2"/>
        </w:numPr>
        <w:spacing w:after="40" w:before="40"/>
      </w:pPr>
      <w:r>
        <w:rPr>
          <w:rFonts w:ascii="Arial" w:cs="Arial" w:eastAsia="Arial" w:hAnsi="Arial"/>
          <w:color w:val="333333"/>
          <w:sz w:val="18"/>
          <w:szCs w:val="18"/>
        </w:rPr>
        <w:t xml:space="preserve">Health and Safety at Work etc. Act 1974 (Sections 2 and 3)</w:t>
      </w:r>
    </w:p>
    <w:p>
      <w:pPr>
        <w:pStyle w:val="ListParagraph"/>
        <w:numPr>
          <w:ilvl w:val="0"/>
          <w:numId w:val="2"/>
        </w:numPr>
        <w:spacing w:after="40" w:before="40"/>
      </w:pPr>
      <w:r>
        <w:rPr>
          <w:rFonts w:ascii="Arial" w:cs="Arial" w:eastAsia="Arial" w:hAnsi="Arial"/>
          <w:color w:val="333333"/>
          <w:sz w:val="18"/>
          <w:szCs w:val="18"/>
        </w:rPr>
        <w:t xml:space="preserve">The Management of Health and Safety at Work Regulations 1999 (Regulation 3)</w:t>
      </w:r>
    </w:p>
    <w:p>
      <w:pPr>
        <w:pStyle w:val="ListParagraph"/>
        <w:numPr>
          <w:ilvl w:val="0"/>
          <w:numId w:val="2"/>
        </w:numPr>
        <w:spacing w:after="40" w:before="40"/>
      </w:pPr>
      <w:r>
        <w:rPr>
          <w:rFonts w:ascii="Arial" w:cs="Arial" w:eastAsia="Arial" w:hAnsi="Arial"/>
          <w:color w:val="333333"/>
          <w:sz w:val="18"/>
          <w:szCs w:val="18"/>
        </w:rPr>
        <w:t xml:space="preserve">Provision and Use of Work Equipment Regulations 1998 (PUWER)</w:t>
      </w:r>
    </w:p>
    <w:p>
      <w:pPr>
        <w:pStyle w:val="ListParagraph"/>
        <w:numPr>
          <w:ilvl w:val="0"/>
          <w:numId w:val="2"/>
        </w:numPr>
        <w:spacing w:after="40" w:before="40"/>
      </w:pPr>
      <w:r>
        <w:rPr>
          <w:rFonts w:ascii="Arial" w:cs="Arial" w:eastAsia="Arial" w:hAnsi="Arial"/>
          <w:color w:val="333333"/>
          <w:sz w:val="18"/>
          <w:szCs w:val="18"/>
        </w:rPr>
        <w:t xml:space="preserve">Lifting Operations and Lifting Equipment Regulations 1998 (LOLER)</w:t>
      </w:r>
    </w:p>
    <w:p>
      <w:pPr>
        <w:pStyle w:val="ListParagraph"/>
        <w:numPr>
          <w:ilvl w:val="0"/>
          <w:numId w:val="2"/>
        </w:numPr>
        <w:spacing w:after="40" w:before="40"/>
      </w:pPr>
      <w:r>
        <w:rPr>
          <w:rFonts w:ascii="Arial" w:cs="Arial" w:eastAsia="Arial" w:hAnsi="Arial"/>
          <w:color w:val="333333"/>
          <w:sz w:val="18"/>
          <w:szCs w:val="18"/>
        </w:rPr>
        <w:t xml:space="preserve">The Workplace (Health, Safety and Welfare) Regulations 1992 (Regulation 5 – Maintenance of workplace)</w:t>
      </w:r>
    </w:p>
    <w:p>
      <w:pPr>
        <w:pStyle w:val="ListParagraph"/>
        <w:numPr>
          <w:ilvl w:val="0"/>
          <w:numId w:val="2"/>
        </w:numPr>
        <w:spacing w:after="40" w:before="40"/>
      </w:pPr>
      <w:r>
        <w:rPr>
          <w:rFonts w:ascii="Arial" w:cs="Arial" w:eastAsia="Arial" w:hAnsi="Arial"/>
          <w:color w:val="333333"/>
          <w:sz w:val="18"/>
          <w:szCs w:val="18"/>
        </w:rPr>
        <w:t xml:space="preserve">Reporting of Injuries, Diseases and Dangerous Occurrences Regulations 2013 (RIDDOR)</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Assisting patients with limited mobility onto/off examination couches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staff (GPs, nurses, HCAs), patients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Height-adjustable examination couches; patient steps available; two-person assist protocol for bariatric or high-risk patients; staff trained in patient handling at induction</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Conduct individual manual handling risk assessments for patients with known mobility issues; install grab rails in all clinical rooms; ensure annual refresher training in patient handling; consider bariatric equipment for larger patients; record manual handling incidents and near-misses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Lifting and moving heavy boxes of medical supplies, paper, or equipment during deliveries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Administrative staff, practice manager, any staff receiving deliveries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Deliveries made to ground-floor access point; trolley available for heavy items; staff advised not to lift more than 25kg; suppliers instructed to palletise large orders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Display maximum weight guidance (HSE TILE assessment) at delivery point; provide manual handling refresher training annually; procure flat-bed trolley; request suppliers split heavy deliveries into smaller packages; store heavy items at waist height</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Repetitive handling of clinical waste bags, sharps containers, and laundry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Cleaning staff, clinical staff handling waste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waste collected by licensed contractor; sharps containers replaced when two-thirds full; waste bins are pedal-operated and appropriately sized; PPE provided for waste handling</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Ensure waste bins are positioned to avoid bending or reaching; schedule more frequent waste collections to reduce bag weight; provide wheeled waste bin trolleys; include waste handling in manual handling training; monitor for overloaded bins</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Moving or repositioning heavy medical equipment (e.g. ECG machines, patient monitors, vaccine fridges)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and maintenance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Equipment on castors where possible; two-person lift policy for items over 15kg; equipment stored in designated locations to minimise movement</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Conduct equipment-specific manual handling assessment; maintain equipment inventory with weights; ensure castors are maintained and brakes functional; use ramps for threshold transitions; label heavy equipment with handling instructions</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1</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3</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Poor workstation ergonomics contributing to upper limb and back disorders (prolonged sitting, DSE use)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All staff using display screen equipment (DSE)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DSE assessments conducted for all regular users; adjustable chairs and desks provided; screen risers available; breaks encouraged between patients/tasks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Repeat DSE assessment annually and when workstation changes; offer sit-stand desks where feasible; include ergonomic awareness in manual handling training; ensure locum and visiting staff have adequate workstation setup; monitor sickness absence related to MSDs</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BS-RA-MH-004  |  Manual Handling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2026-05-15T12:28:36.153Z</dcterms:created>
  <dcterms:modified xsi:type="dcterms:W3CDTF">2026-05-15T12:28:36.153Z</dcterms:modified>
</cp:coreProperties>
</file>

<file path=docProps/custom.xml><?xml version="1.0" encoding="utf-8"?>
<Properties xmlns="http://schemas.openxmlformats.org/officeDocument/2006/custom-properties" xmlns:vt="http://schemas.openxmlformats.org/officeDocument/2006/docPropsVTypes"/>
</file>