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B1D3A"/>
          <w:sz w:val="40"/>
          <w:szCs w:val="40"/>
        </w:rPr>
        <w:t xml:space="preserve">RISK ASSESSMENT</w:t>
      </w:r>
    </w:p>
    <w:p>
      <w:pPr>
        <w:spacing w:after="60"/>
        <w:jc w:val="center"/>
      </w:pPr>
      <w:r>
        <w:rPr>
          <w:rFonts w:ascii="Arial" w:cs="Arial" w:eastAsia="Arial" w:hAnsi="Arial"/>
          <w:b/>
          <w:bCs/>
          <w:color w:val="D4AF37"/>
          <w:sz w:val="30"/>
          <w:szCs w:val="30"/>
        </w:rPr>
        <w:t xml:space="preserve">MEDICINES MANAGEMENT AND STORAGE</w:t>
      </w:r>
    </w:p>
    <w:p>
      <w:pPr>
        <w:pBdr>
          <w:bottom w:val="single" w:color="D4AF37" w:sz="8" w:space="1"/>
        </w:pBdr>
        <w:spacing w:after="200" w:before="200"/>
      </w:pP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800"/>
        <w:gridCol w:w="4700"/>
        <w:gridCol w:w="2800"/>
        <w:gridCol w:w="4000"/>
      </w:tblGrid>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Reference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7"/>
                <w:szCs w:val="17"/>
              </w:rPr>
              <w:t xml:space="preserve">BS-RA-MM-005</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Assessment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Assessed By</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Date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Date – 12 months from assessment]</w:t>
            </w:r>
          </w:p>
        </w:tc>
      </w:tr>
      <w:tr>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Practice Name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Practice Name]</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[Insert Name], [Insert Job Title]</w:t>
            </w:r>
          </w:p>
        </w:tc>
      </w:tr>
    </w:tbl>
    <w:p>
      <w:pPr>
        <w:spacing w:before="300"/>
      </w:pPr>
    </w:p>
    <w:p>
      <w:pPr>
        <w:pStyle w:val="Heading2"/>
      </w:pPr>
      <w:r>
        <w:rPr>
          <w:rFonts w:ascii="Arial" w:cs="Arial" w:eastAsia="Arial" w:hAnsi="Arial"/>
          <w:b/>
          <w:bCs/>
          <w:color w:val="0B1D3A"/>
        </w:rPr>
        <w:t xml:space="preserve">1. Purpose</w:t>
      </w:r>
    </w:p>
    <w:p>
      <w:pPr>
        <w:spacing w:after="100"/>
      </w:pPr>
      <w:r>
        <w:rPr>
          <w:rFonts w:ascii="Arial" w:cs="Arial" w:eastAsia="Arial" w:hAnsi="Arial"/>
          <w:color w:val="333333"/>
          <w:sz w:val="19"/>
          <w:szCs w:val="19"/>
        </w:rPr>
        <w:t xml:space="preserve">To identify and mitigate risks associated with the ordering, receipt, storage, administration, and disposal of medicines within the GP practice, ensuring patient safety and regulatory compliance.</w:t>
      </w:r>
    </w:p>
    <w:p>
      <w:pPr>
        <w:pStyle w:val="Heading2"/>
      </w:pPr>
      <w:r>
        <w:rPr>
          <w:rFonts w:ascii="Arial" w:cs="Arial" w:eastAsia="Arial" w:hAnsi="Arial"/>
          <w:b/>
          <w:bCs/>
          <w:color w:val="0B1D3A"/>
        </w:rPr>
        <w:t xml:space="preserve">2. Scope</w:t>
      </w:r>
    </w:p>
    <w:p>
      <w:pPr>
        <w:spacing w:after="100"/>
      </w:pPr>
      <w:r>
        <w:rPr>
          <w:rFonts w:ascii="Arial" w:cs="Arial" w:eastAsia="Arial" w:hAnsi="Arial"/>
          <w:color w:val="333333"/>
          <w:sz w:val="19"/>
          <w:szCs w:val="19"/>
        </w:rPr>
        <w:t xml:space="preserve">All areas where medicines are stored, prepared, or administered, including the dispensary (if applicable), treatment rooms, consulting rooms, vaccine fridges, controlled drugs cupboard, and emergency drugs bag. Applies to all staff involved in medicines management.</w:t>
      </w:r>
    </w:p>
    <w:p>
      <w:pPr>
        <w:pStyle w:val="Heading2"/>
      </w:pPr>
      <w:r>
        <w:rPr>
          <w:rFonts w:ascii="Arial" w:cs="Arial" w:eastAsia="Arial" w:hAnsi="Arial"/>
          <w:b/>
          <w:bCs/>
          <w:color w:val="0B1D3A"/>
        </w:rPr>
        <w:t xml:space="preserve">3. Applicable Legislation and Guidance</w:t>
      </w:r>
    </w:p>
    <w:p>
      <w:pPr>
        <w:pStyle w:val="ListParagraph"/>
        <w:numPr>
          <w:ilvl w:val="0"/>
          <w:numId w:val="2"/>
        </w:numPr>
        <w:spacing w:after="40" w:before="40"/>
      </w:pPr>
      <w:r>
        <w:rPr>
          <w:rFonts w:ascii="Arial" w:cs="Arial" w:eastAsia="Arial" w:hAnsi="Arial"/>
          <w:color w:val="333333"/>
          <w:sz w:val="18"/>
          <w:szCs w:val="18"/>
        </w:rPr>
        <w:t xml:space="preserve">The Human Medicines Regulations 2012 (as amended)</w:t>
      </w:r>
    </w:p>
    <w:p>
      <w:pPr>
        <w:pStyle w:val="ListParagraph"/>
        <w:numPr>
          <w:ilvl w:val="0"/>
          <w:numId w:val="2"/>
        </w:numPr>
        <w:spacing w:after="40" w:before="40"/>
      </w:pPr>
      <w:r>
        <w:rPr>
          <w:rFonts w:ascii="Arial" w:cs="Arial" w:eastAsia="Arial" w:hAnsi="Arial"/>
          <w:color w:val="333333"/>
          <w:sz w:val="18"/>
          <w:szCs w:val="18"/>
        </w:rPr>
        <w:t xml:space="preserve">Misuse of Drugs Act 1971</w:t>
      </w:r>
    </w:p>
    <w:p>
      <w:pPr>
        <w:pStyle w:val="ListParagraph"/>
        <w:numPr>
          <w:ilvl w:val="0"/>
          <w:numId w:val="2"/>
        </w:numPr>
        <w:spacing w:after="40" w:before="40"/>
      </w:pPr>
      <w:r>
        <w:rPr>
          <w:rFonts w:ascii="Arial" w:cs="Arial" w:eastAsia="Arial" w:hAnsi="Arial"/>
          <w:color w:val="333333"/>
          <w:sz w:val="18"/>
          <w:szCs w:val="18"/>
        </w:rPr>
        <w:t xml:space="preserve">Misuse of Drugs Regulations 2001 (as amended)</w:t>
      </w:r>
    </w:p>
    <w:p>
      <w:pPr>
        <w:pStyle w:val="ListParagraph"/>
        <w:numPr>
          <w:ilvl w:val="0"/>
          <w:numId w:val="2"/>
        </w:numPr>
        <w:spacing w:after="40" w:before="40"/>
      </w:pPr>
      <w:r>
        <w:rPr>
          <w:rFonts w:ascii="Arial" w:cs="Arial" w:eastAsia="Arial" w:hAnsi="Arial"/>
          <w:color w:val="333333"/>
          <w:sz w:val="18"/>
          <w:szCs w:val="18"/>
        </w:rPr>
        <w:t xml:space="preserve">The Controlled Drugs (Supervision of Management and Use) Regulations 2013</w:t>
      </w:r>
    </w:p>
    <w:p>
      <w:pPr>
        <w:pStyle w:val="ListParagraph"/>
        <w:numPr>
          <w:ilvl w:val="0"/>
          <w:numId w:val="2"/>
        </w:numPr>
        <w:spacing w:after="40" w:before="40"/>
      </w:pPr>
      <w:r>
        <w:rPr>
          <w:rFonts w:ascii="Arial" w:cs="Arial" w:eastAsia="Arial" w:hAnsi="Arial"/>
          <w:color w:val="333333"/>
          <w:sz w:val="18"/>
          <w:szCs w:val="18"/>
        </w:rPr>
        <w:t xml:space="preserve">Health and Safety at Work etc. Act 1974</w:t>
      </w:r>
    </w:p>
    <w:p>
      <w:pPr>
        <w:pStyle w:val="ListParagraph"/>
        <w:numPr>
          <w:ilvl w:val="0"/>
          <w:numId w:val="2"/>
        </w:numPr>
        <w:spacing w:after="40" w:before="40"/>
      </w:pPr>
      <w:r>
        <w:rPr>
          <w:rFonts w:ascii="Arial" w:cs="Arial" w:eastAsia="Arial" w:hAnsi="Arial"/>
          <w:color w:val="333333"/>
          <w:sz w:val="18"/>
          <w:szCs w:val="18"/>
        </w:rPr>
        <w:t xml:space="preserve">The Health and Social Care Act 2008 (Regulated Activities) Regulations 2014 (Regulation 12 – Safe Care and Treatment)</w:t>
      </w:r>
    </w:p>
    <w:p>
      <w:pPr>
        <w:pStyle w:val="ListParagraph"/>
        <w:numPr>
          <w:ilvl w:val="0"/>
          <w:numId w:val="2"/>
        </w:numPr>
        <w:spacing w:after="40" w:before="40"/>
      </w:pPr>
      <w:r>
        <w:rPr>
          <w:rFonts w:ascii="Arial" w:cs="Arial" w:eastAsia="Arial" w:hAnsi="Arial"/>
          <w:color w:val="333333"/>
          <w:sz w:val="18"/>
          <w:szCs w:val="18"/>
        </w:rPr>
        <w:t xml:space="preserve">CQC Guidance: Medicines Management in GP Practices</w:t>
      </w:r>
    </w:p>
    <w:p>
      <w:pPr>
        <w:pStyle w:val="ListParagraph"/>
        <w:numPr>
          <w:ilvl w:val="0"/>
          <w:numId w:val="2"/>
        </w:numPr>
        <w:spacing w:after="40" w:before="40"/>
      </w:pPr>
      <w:r>
        <w:rPr>
          <w:rFonts w:ascii="Arial" w:cs="Arial" w:eastAsia="Arial" w:hAnsi="Arial"/>
          <w:color w:val="333333"/>
          <w:sz w:val="18"/>
          <w:szCs w:val="18"/>
        </w:rPr>
        <w:t xml:space="preserve">NICE Guideline NG5 – Medicines Optimisation (2015, updated 2023)</w:t>
      </w:r>
    </w:p>
    <w:p>
      <w:pPr>
        <w:pStyle w:val="ListParagraph"/>
        <w:numPr>
          <w:ilvl w:val="0"/>
          <w:numId w:val="2"/>
        </w:numPr>
        <w:spacing w:after="40" w:before="40"/>
      </w:pPr>
      <w:r>
        <w:rPr>
          <w:rFonts w:ascii="Arial" w:cs="Arial" w:eastAsia="Arial" w:hAnsi="Arial"/>
          <w:color w:val="333333"/>
          <w:sz w:val="18"/>
          <w:szCs w:val="18"/>
        </w:rPr>
        <w:t xml:space="preserve">NHS England Patient Group Directions (PGD) Framework</w:t>
      </w:r>
    </w:p>
    <w:p>
      <w:pPr>
        <w:pBdr>
          <w:bottom w:val="single" w:color="D4AF37" w:sz="8" w:space="1"/>
        </w:pBdr>
        <w:spacing w:after="200" w:before="200"/>
      </w:pPr>
    </w:p>
    <w:p>
      <w:pPr>
        <w:pStyle w:val="Heading2"/>
      </w:pPr>
      <w:r>
        <w:rPr>
          <w:rFonts w:ascii="Arial" w:cs="Arial" w:eastAsia="Arial" w:hAnsi="Arial"/>
          <w:b/>
          <w:bCs/>
          <w:color w:val="0B1D3A"/>
        </w:rPr>
        <w:t xml:space="preserve">4. Risk Rating Matrix (Likelihood × Severity)</w:t>
      </w:r>
    </w:p>
    <w:p>
      <w:pPr>
        <w:spacing w:after="100"/>
      </w:pPr>
      <w:r>
        <w:rPr>
          <w:rFonts w:ascii="Arial" w:cs="Arial" w:eastAsia="Arial" w:hAnsi="Arial"/>
          <w:color w:val="555555"/>
          <w:sz w:val="18"/>
          <w:szCs w:val="18"/>
        </w:rPr>
        <w:t xml:space="preserve">L = Likelihood (1–5)  |  S = Severity (1–5)  |  Rating = L × S</w:t>
      </w:r>
    </w:p>
    <w:p>
      <w:pPr>
        <w:spacing w:after="60"/>
      </w:pPr>
      <w:r>
        <w:rPr>
          <w:rFonts w:ascii="Arial" w:cs="Arial" w:eastAsia="Arial" w:hAnsi="Arial"/>
          <w:b/>
          <w:bCs/>
          <w:color w:val="27AE60"/>
          <w:sz w:val="18"/>
          <w:szCs w:val="18"/>
        </w:rPr>
        <w:t xml:space="preserve">Low (1–4)</w:t>
      </w:r>
      <w:r>
        <w:rPr>
          <w:rFonts w:ascii="Arial" w:cs="Arial" w:eastAsia="Arial" w:hAnsi="Arial"/>
          <w:sz w:val="18"/>
          <w:szCs w:val="18"/>
        </w:rPr>
        <w:t xml:space="preserve">    </w:t>
      </w:r>
      <w:r>
        <w:rPr>
          <w:rFonts w:ascii="Arial" w:cs="Arial" w:eastAsia="Arial" w:hAnsi="Arial"/>
          <w:b/>
          <w:bCs/>
          <w:color w:val="F39C12"/>
          <w:sz w:val="18"/>
          <w:szCs w:val="18"/>
        </w:rPr>
        <w:t xml:space="preserve">Medium (5–11)</w:t>
      </w:r>
      <w:r>
        <w:rPr>
          <w:rFonts w:ascii="Arial" w:cs="Arial" w:eastAsia="Arial" w:hAnsi="Arial"/>
          <w:sz w:val="18"/>
          <w:szCs w:val="18"/>
        </w:rPr>
        <w:t xml:space="preserve">    </w:t>
      </w:r>
      <w:r>
        <w:rPr>
          <w:rFonts w:ascii="Arial" w:cs="Arial" w:eastAsia="Arial" w:hAnsi="Arial"/>
          <w:b/>
          <w:bCs/>
          <w:color w:val="E74C3C"/>
          <w:sz w:val="18"/>
          <w:szCs w:val="18"/>
        </w:rPr>
        <w:t xml:space="preserve">High (12–25)</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Likelihood / Severity</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Negligible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Minor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Moderate</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Major</w:t>
            </w:r>
          </w:p>
        </w:tc>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Catastrophic</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1 - Very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2 - Unlikely</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2</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4</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3 - Possible</w:t>
            </w:r>
          </w:p>
        </w:tc>
        <w:tc>
          <w:tcPr>
            <w:tcW w:type="dxa" w:w="12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3</w:t>
            </w:r>
            <w:r>
              <w:rPr>
                <w:rFonts w:ascii="Arial" w:cs="Arial" w:eastAsia="Arial" w:hAnsi="Arial"/>
                <w:color w:val="27AE60"/>
                <w:sz w:val="14"/>
                <w:szCs w:val="14"/>
              </w:rPr>
              <w:t xml:space="preserve">
Low</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6</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9</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4 - Likely</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4</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8</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12</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16</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r>
      <w:tr>
        <w:tc>
          <w:tcPr>
            <w:tcW w:type="dxa" w:w="1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5 - Almost Certain</w:t>
            </w:r>
          </w:p>
        </w:tc>
        <w:tc>
          <w:tcPr>
            <w:tcW w:type="dxa" w:w="12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6"/>
                <w:szCs w:val="16"/>
              </w:rPr>
              <w:t xml:space="preserve">5</w:t>
            </w:r>
            <w:r>
              <w:rPr>
                <w:rFonts w:ascii="Arial" w:cs="Arial" w:eastAsia="Arial" w:hAnsi="Arial"/>
                <w:color w:val="F39C12"/>
                <w:sz w:val="14"/>
                <w:szCs w:val="14"/>
              </w:rPr>
              <w:t xml:space="preserve">
Medium</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20</w:t>
            </w:r>
            <w:r>
              <w:rPr>
                <w:rFonts w:ascii="Arial" w:cs="Arial" w:eastAsia="Arial" w:hAnsi="Arial"/>
                <w:color w:val="E74C3C"/>
                <w:sz w:val="14"/>
                <w:szCs w:val="14"/>
              </w:rPr>
              <w:t xml:space="preserve">
High</w:t>
            </w:r>
          </w:p>
        </w:tc>
        <w:tc>
          <w:tcPr>
            <w:tcW w:type="dxa" w:w="12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25</w:t>
            </w:r>
            <w:r>
              <w:rPr>
                <w:rFonts w:ascii="Arial" w:cs="Arial" w:eastAsia="Arial" w:hAnsi="Arial"/>
                <w:color w:val="E74C3C"/>
                <w:sz w:val="14"/>
                <w:szCs w:val="14"/>
              </w:rPr>
              <w:t xml:space="preserve">
High</w:t>
            </w:r>
          </w:p>
        </w:tc>
      </w:tr>
    </w:tbl>
    <w:p>
      <w:pPr>
        <w:pBdr>
          <w:bottom w:val="single" w:color="D4AF37" w:sz="8" w:space="1"/>
        </w:pBdr>
        <w:spacing w:after="200" w:before="200"/>
      </w:pPr>
    </w:p>
    <w:p>
      <w:pPr>
        <w:pStyle w:val="Heading2"/>
        <w:spacing w:after="120" w:before="200"/>
      </w:pPr>
      <w:r>
        <w:rPr>
          <w:rFonts w:ascii="Arial" w:cs="Arial" w:eastAsia="Arial" w:hAnsi="Arial"/>
          <w:b/>
          <w:bCs/>
          <w:color w:val="0B1D3A"/>
        </w:rPr>
        <w:t xml:space="preserve">5. Risk Assessment</w:t>
      </w:r>
    </w:p>
    <w:tbl>
      <w:tblPr>
        <w:tblW w:type="dxa" w:w="143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600"/>
        <w:gridCol w:w="550"/>
        <w:gridCol w:w="550"/>
        <w:gridCol w:w="700"/>
        <w:gridCol w:w="2800"/>
        <w:gridCol w:w="550"/>
        <w:gridCol w:w="550"/>
        <w:gridCol w:w="700"/>
        <w:gridCol w:w="1000"/>
        <w:gridCol w:w="1000"/>
      </w:tblGrid>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INITIAL RISK</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800"/>
            <w:gridSpan w:val="3"/>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D4AF37"/>
                <w:sz w:val="18"/>
                <w:szCs w:val="18"/>
              </w:rPr>
              <w:t xml:space="preserve">RESIDUAL RISK</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
            </w:r>
          </w:p>
        </w:tc>
      </w:tr>
      <w:tr>
        <w:tc>
          <w:tcPr>
            <w:tcW w:type="dxa" w:w="22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Hazard / Risk</w:t>
            </w:r>
          </w:p>
        </w:tc>
        <w:tc>
          <w:tcPr>
            <w:tcW w:type="dxa" w:w="11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Is at Risk?</w:t>
            </w:r>
          </w:p>
        </w:tc>
        <w:tc>
          <w:tcPr>
            <w:tcW w:type="dxa" w:w="26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Existing Control Measures</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28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Additional Control Measures Required</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w:t>
            </w:r>
          </w:p>
        </w:tc>
        <w:tc>
          <w:tcPr>
            <w:tcW w:type="dxa" w:w="55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w:t>
            </w:r>
          </w:p>
        </w:tc>
        <w:tc>
          <w:tcPr>
            <w:tcW w:type="dxa" w:w="7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Owner</w:t>
            </w:r>
          </w:p>
        </w:tc>
        <w:tc>
          <w:tcPr>
            <w:tcW w:type="dxa" w:w="10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Incorrect storage temperatures for vaccines and thermolabile medicines (cold chain breach)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(potential vaccine failure), staff</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Dedicated pharmaceutical fridge with min/max thermometer; daily temperature checks recorded; fridge temperature alarm; cold chain policy in place; staff trained on cold chain management</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Install continuous digital temperature monitoring with out-of-hours alerts; maintain calibration certificates for thermometers; conduct annual cold chain audit; designate cold chain lead; establish cold chain breach protocol with PHE notification pathway; ensure backup power supply or contingency plan for fridge failure</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4</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Controlled drugs stored insecurely or stock discrepancies undetected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staff, public (risk of diversion)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Controlled drugs stored in compliant CD cupboard (BS 2881); CD register maintained; dual signatory for receipt and administration; quarterly CD stock checks; accountable officer appointed</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5</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Monthly controlled drugs stock balance check; install CCTV covering CD cupboard area; ensure CD register entries are ink only with no corrective fluid; annual audit by accountable officer; report any discrepancies to NHS England CD Accountable Officer within 24 hours</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5</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Prescribing or administration errors due to incorrect patient identification, dosage, or drug interaction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Electronic prescribing system with drug interaction alerts; patient identification verified before administration; Patient Group Directions (PGDs) in place for nurse-led administration; significant event analysis (SEA) conducted for medication errors</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5</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Implement regular prescribing audits (quarterly); ensure clinical system drug databases are updated; conduct annual PGD review; introduce barcode scanning for patient identification where feasible; share anonymised learning from SEAs with all clinical staff at monthly meetings</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5</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Expired or out-of-date medicines remaining in stock or being administered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Monthly expiry date checks across all storage areas; stock rotation (first expiry first out); expired medicines segregated for disposal; disposal via authorised pharmaceutical waste contractor</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2</w:t>
            </w:r>
          </w:p>
        </w:tc>
        <w:tc>
          <w:tcPr>
            <w:tcW w:type="dxa" w:w="55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4</w:t>
            </w:r>
          </w:p>
        </w:tc>
        <w:tc>
          <w:tcPr>
            <w:tcW w:type="dxa" w:w="7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7"/>
                <w:szCs w:val="17"/>
              </w:rPr>
              <w:t xml:space="preserve">High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Assign specific staff member responsibility for monthly stock checks; maintain expiry log; introduce traffic-light labelling system (amber = expiring within 3 months, red = expiring within 1 month); quarterly audit of medicines stock by pharmacist; reduce over-ordering through demand forecasting</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4</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Anaphylaxis or adverse drug reaction following administration of vaccines or injectable medicines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Patients, staff administering medicines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Anaphylaxis kit available in treatment room; staff trained in recognition and management of anaphylaxis; resuscitation equipment checked weekly; patient allergy status checked before administration; post-vaccination observation period (15 minutes minimum)</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5</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6"/>
                <w:szCs w:val="16"/>
              </w:rPr>
              <w:t xml:space="preserve">Ensure annual anaphylaxis and Basic Life Support training for all clinical staff; check anaphylaxis kit contents monthly with documented sign-off; display anaphylaxis management algorithm in treatment rooms; review and update drug allergy recording in patient clinical records; debrief after any anaphylaxis event</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1</w:t>
            </w:r>
          </w:p>
        </w:tc>
        <w:tc>
          <w:tcPr>
            <w:tcW w:type="dxa" w:w="55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5</w:t>
            </w:r>
          </w:p>
        </w:tc>
        <w:tc>
          <w:tcPr>
            <w:tcW w:type="dxa" w:w="7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7"/>
                <w:szCs w:val="17"/>
              </w:rPr>
              <w:t xml:space="preserve">Medium</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Name]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6"/>
                <w:szCs w:val="16"/>
              </w:rPr>
              <w:t xml:space="preserve">[Insert Date]</w:t>
            </w:r>
          </w:p>
        </w:tc>
      </w:tr>
    </w:tbl>
    <w:p>
      <w:r>
        <w:br w:type="page"/>
      </w:r>
    </w:p>
    <w:p>
      <w:pPr>
        <w:pBdr>
          <w:bottom w:val="single" w:color="D4AF37" w:sz="8" w:space="1"/>
        </w:pBdr>
        <w:spacing w:after="200" w:before="200"/>
      </w:pPr>
    </w:p>
    <w:p>
      <w:pPr>
        <w:pStyle w:val="Heading2"/>
      </w:pPr>
      <w:r>
        <w:rPr>
          <w:rFonts w:ascii="Arial" w:cs="Arial" w:eastAsia="Arial" w:hAnsi="Arial"/>
          <w:b/>
          <w:bCs/>
          <w:color w:val="0B1D3A"/>
        </w:rPr>
        <w:t xml:space="preserve">6. Assessment Sign-Off</w:t>
      </w:r>
    </w:p>
    <w:p>
      <w:pPr>
        <w:spacing w:after="200" w:before="120"/>
      </w:pPr>
      <w:r>
        <w:rPr>
          <w:rFonts w:ascii="Arial" w:cs="Arial" w:eastAsia="Arial" w:hAnsi="Arial"/>
          <w:color w:val="333333"/>
          <w:sz w:val="19"/>
          <w:szCs w:val="19"/>
        </w:rPr>
        <w:t xml:space="preserve">This risk assessment has been reviewed and approved by the following authorised persons. It shall be reviewed at least annually, or sooner if there is a significant change in work practices, legislation, or following an incident.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300"/>
      </w:tblGrid>
      <w:tr>
        <w:tc>
          <w:tcPr>
            <w:tcW w:type="dxa" w:w="34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 / Name</w:t>
            </w:r>
          </w:p>
        </w:tc>
        <w:tc>
          <w:tcPr>
            <w:tcW w:type="dxa" w:w="33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Assessor: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Practice Manager: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Senior Partner / Lead GP: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8"/>
                <w:szCs w:val="18"/>
              </w:rPr>
              <w:t xml:space="preserve">Health &amp; Safety Lead: [Insert 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bottom w:val="single" w:color="D4AF37" w:sz="8" w:space="1"/>
        </w:pBdr>
        <w:spacing w:after="200" w:before="200"/>
      </w:pPr>
    </w:p>
    <w:p>
      <w:pPr>
        <w:spacing w:after="60" w:before="200"/>
      </w:pPr>
      <w:r>
        <w:rPr>
          <w:rFonts w:ascii="Arial" w:cs="Arial" w:eastAsia="Arial" w:hAnsi="Arial"/>
          <w:b/>
          <w:bCs/>
          <w:color w:val="0B1D3A"/>
          <w:sz w:val="22"/>
          <w:szCs w:val="22"/>
        </w:rPr>
        <w:t xml:space="preserve">Document Control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Version</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2500"/>
            <w:tcBorders>
              <w:top w:val="single" w:color="0B1D3A" w:sz="1"/>
              <w:left w:val="single" w:color="0B1D3A" w:sz="1"/>
              <w:bottom w:val="single" w:color="0B1D3A" w:sz="1"/>
              <w:right w:val="single" w:color="0B1D3A"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Changes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Date]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[Insert 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color w:val="333333"/>
                <w:sz w:val="17"/>
                <w:szCs w:val="17"/>
              </w:rPr>
              <w:t xml:space="preserve">Initial issue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color w:val="333333"/>
                <w:sz w:val="17"/>
                <w:szCs w:val="17"/>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before="60"/>
        <w:jc w:val="center"/>
      </w:pPr>
      <w:r>
        <w:rPr>
          <w:rFonts w:ascii="Arial" w:cs="Arial" w:eastAsia="Arial" w:hAnsi="Arial"/>
          <w:i/>
          <w:iCs/>
          <w:color w:val="888888"/>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spacing w:before="80"/>
    </w:pPr>
    <w:r>
      <w:rPr>
        <w:rFonts w:ascii="Arial" w:cs="Arial" w:eastAsia="Arial" w:hAnsi="Arial"/>
        <w:color w:val="888888"/>
        <w:sz w:val="14"/>
        <w:szCs w:val="14"/>
      </w:rPr>
      <w:t xml:space="preserve">BS-RA-MM-005  |  Medicines Management and Storage  |  </w:t>
    </w:r>
    <w:r>
      <w:rPr>
        <w:rFonts w:ascii="Arial" w:cs="Arial" w:eastAsia="Arial" w:hAnsi="Arial"/>
        <w:color w:val="888888"/>
        <w:sz w:val="14"/>
        <w:szCs w:val="14"/>
      </w:rPr>
      <w:t xml:space="preserve">Page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color w:val="0B1D3A"/>
        <w:sz w:val="20"/>
        <w:szCs w:val="20"/>
      </w:rPr>
      <w:t xml:space="preserve">Health &amp; Safety Consultants</w:t>
    </w:r>
  </w:p>
  <w:p>
    <w:pPr>
      <w:pBdr>
        <w:bottom w:val="single" w:color="D4AF37" w:sz="6" w:space="1"/>
      </w:pBdr>
      <w:spacing w:after="40"/>
    </w:pPr>
    <w:r>
      <w:rPr>
        <w:rFonts w:ascii="Arial" w:cs="Arial" w:eastAsia="Arial" w:hAnsi="Arial"/>
        <w:i/>
        <w:iCs/>
        <w:color w:val="888888"/>
        <w:sz w:val="16"/>
        <w:szCs w:val="16"/>
      </w:rPr>
      <w:t xml:space="preserve">barker-scott.co.uk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B1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2026-05-15T12:28:36.289Z</dcterms:created>
  <dcterms:modified xsi:type="dcterms:W3CDTF">2026-05-15T12:28:36.289Z</dcterms:modified>
</cp:coreProperties>
</file>

<file path=docProps/custom.xml><?xml version="1.0" encoding="utf-8"?>
<Properties xmlns="http://schemas.openxmlformats.org/officeDocument/2006/custom-properties" xmlns:vt="http://schemas.openxmlformats.org/officeDocument/2006/docPropsVTypes"/>
</file>