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SAFEGUARDING (ADULTS AND CHILDREN)</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BS-RA-SG-009</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and mitigate risks related to the safeguarding of children and vulnerable adults within the GP practice setting, ensuring that all staff are equipped to recognise, respond to, and report concerns in accordance with statutory duties.</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clinical and non-clinical interactions with patients and visitors, including face-to-face consultations, telephone consultations, home visits, prescription requests, and reception interactions. Applies to all staff, locums, trainees, and visiting professionals.</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Children Act 1989 (Section 47 and Section 17)</w:t>
      </w:r>
    </w:p>
    <w:p>
      <w:pPr>
        <w:pStyle w:val="ListParagraph"/>
        <w:numPr>
          <w:ilvl w:val="0"/>
          <w:numId w:val="2"/>
        </w:numPr>
        <w:spacing w:after="40" w:before="40"/>
      </w:pPr>
      <w:r>
        <w:rPr>
          <w:rFonts w:ascii="Arial" w:cs="Arial" w:eastAsia="Arial" w:hAnsi="Arial"/>
          <w:color w:val="333333"/>
          <w:sz w:val="18"/>
          <w:szCs w:val="18"/>
        </w:rPr>
        <w:t xml:space="preserve">Children Act 2004 (Section 11 – Duty to Safeguard)</w:t>
      </w:r>
    </w:p>
    <w:p>
      <w:pPr>
        <w:pStyle w:val="ListParagraph"/>
        <w:numPr>
          <w:ilvl w:val="0"/>
          <w:numId w:val="2"/>
        </w:numPr>
        <w:spacing w:after="40" w:before="40"/>
      </w:pPr>
      <w:r>
        <w:rPr>
          <w:rFonts w:ascii="Arial" w:cs="Arial" w:eastAsia="Arial" w:hAnsi="Arial"/>
          <w:color w:val="333333"/>
          <w:sz w:val="18"/>
          <w:szCs w:val="18"/>
        </w:rPr>
        <w:t xml:space="preserve">Care Act 2014 (Sections 42–47 – Safeguarding Adults)</w:t>
      </w:r>
    </w:p>
    <w:p>
      <w:pPr>
        <w:pStyle w:val="ListParagraph"/>
        <w:numPr>
          <w:ilvl w:val="0"/>
          <w:numId w:val="2"/>
        </w:numPr>
        <w:spacing w:after="40" w:before="40"/>
      </w:pPr>
      <w:r>
        <w:rPr>
          <w:rFonts w:ascii="Arial" w:cs="Arial" w:eastAsia="Arial" w:hAnsi="Arial"/>
          <w:color w:val="333333"/>
          <w:sz w:val="18"/>
          <w:szCs w:val="18"/>
        </w:rPr>
        <w:t xml:space="preserve">Working Together to Safeguard Children 2023 (HM Government Statutory Guidance)</w:t>
      </w:r>
    </w:p>
    <w:p>
      <w:pPr>
        <w:pStyle w:val="ListParagraph"/>
        <w:numPr>
          <w:ilvl w:val="0"/>
          <w:numId w:val="2"/>
        </w:numPr>
        <w:spacing w:after="40" w:before="40"/>
      </w:pPr>
      <w:r>
        <w:rPr>
          <w:rFonts w:ascii="Arial" w:cs="Arial" w:eastAsia="Arial" w:hAnsi="Arial"/>
          <w:color w:val="333333"/>
          <w:sz w:val="18"/>
          <w:szCs w:val="18"/>
        </w:rPr>
        <w:t xml:space="preserve">Mental Capacity Act 2005</w:t>
      </w:r>
    </w:p>
    <w:p>
      <w:pPr>
        <w:pStyle w:val="ListParagraph"/>
        <w:numPr>
          <w:ilvl w:val="0"/>
          <w:numId w:val="2"/>
        </w:numPr>
        <w:spacing w:after="40" w:before="40"/>
      </w:pPr>
      <w:r>
        <w:rPr>
          <w:rFonts w:ascii="Arial" w:cs="Arial" w:eastAsia="Arial" w:hAnsi="Arial"/>
          <w:color w:val="333333"/>
          <w:sz w:val="18"/>
          <w:szCs w:val="18"/>
        </w:rPr>
        <w:t xml:space="preserve">The Health and Social Care Act 2008 (Regulated Activities) Regulations 2014 (Regulation 13 – Safeguarding)</w:t>
      </w:r>
    </w:p>
    <w:p>
      <w:pPr>
        <w:pStyle w:val="ListParagraph"/>
        <w:numPr>
          <w:ilvl w:val="0"/>
          <w:numId w:val="2"/>
        </w:numPr>
        <w:spacing w:after="40" w:before="40"/>
      </w:pPr>
      <w:r>
        <w:rPr>
          <w:rFonts w:ascii="Arial" w:cs="Arial" w:eastAsia="Arial" w:hAnsi="Arial"/>
          <w:color w:val="333333"/>
          <w:sz w:val="18"/>
          <w:szCs w:val="18"/>
        </w:rPr>
        <w:t xml:space="preserve">Female Genital Mutilation Act 2003 (as amended by the Serious Crime Act 2015 – mandatory reporting duty)</w:t>
      </w:r>
    </w:p>
    <w:p>
      <w:pPr>
        <w:pStyle w:val="ListParagraph"/>
        <w:numPr>
          <w:ilvl w:val="0"/>
          <w:numId w:val="2"/>
        </w:numPr>
        <w:spacing w:after="40" w:before="40"/>
      </w:pPr>
      <w:r>
        <w:rPr>
          <w:rFonts w:ascii="Arial" w:cs="Arial" w:eastAsia="Arial" w:hAnsi="Arial"/>
          <w:color w:val="333333"/>
          <w:sz w:val="18"/>
          <w:szCs w:val="18"/>
        </w:rPr>
        <w:t xml:space="preserve">Modern Slavery Act 2015</w:t>
      </w:r>
    </w:p>
    <w:p>
      <w:pPr>
        <w:pStyle w:val="ListParagraph"/>
        <w:numPr>
          <w:ilvl w:val="0"/>
          <w:numId w:val="2"/>
        </w:numPr>
        <w:spacing w:after="40" w:before="40"/>
      </w:pPr>
      <w:r>
        <w:rPr>
          <w:rFonts w:ascii="Arial" w:cs="Arial" w:eastAsia="Arial" w:hAnsi="Arial"/>
          <w:color w:val="333333"/>
          <w:sz w:val="18"/>
          <w:szCs w:val="18"/>
        </w:rPr>
        <w:t xml:space="preserve">Domestic Abuse Act 2021</w:t>
      </w:r>
    </w:p>
    <w:p>
      <w:pPr>
        <w:pStyle w:val="ListParagraph"/>
        <w:numPr>
          <w:ilvl w:val="0"/>
          <w:numId w:val="2"/>
        </w:numPr>
        <w:spacing w:after="40" w:before="40"/>
      </w:pPr>
      <w:r>
        <w:rPr>
          <w:rFonts w:ascii="Arial" w:cs="Arial" w:eastAsia="Arial" w:hAnsi="Arial"/>
          <w:color w:val="333333"/>
          <w:sz w:val="18"/>
          <w:szCs w:val="18"/>
        </w:rPr>
        <w:t xml:space="preserve">The Prevent Duty Guidance 2023 (Counter-Terrorism and Security Act 2015, Section 26)</w:t>
      </w:r>
    </w:p>
    <w:p>
      <w:pPr>
        <w:pStyle w:val="ListParagraph"/>
        <w:numPr>
          <w:ilvl w:val="0"/>
          <w:numId w:val="2"/>
        </w:numPr>
        <w:spacing w:after="40" w:before="40"/>
      </w:pPr>
      <w:r>
        <w:rPr>
          <w:rFonts w:ascii="Arial" w:cs="Arial" w:eastAsia="Arial" w:hAnsi="Arial"/>
          <w:color w:val="333333"/>
          <w:sz w:val="18"/>
          <w:szCs w:val="18"/>
        </w:rPr>
        <w:t xml:space="preserve">Data Protection Act 2018 / UK GDPR (information sharing for safeguarding purposes)</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Failure to recognise indicators of child abuse or neglect (physical, emotional, sexual abuse, or neglect)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Children and young persons registered at the practice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Safeguarding children lead appointed; Level 3 safeguarding training for clinical staff; child protection coding and alerts on clinical system; information sharing agreements with local authority; did-not-attend (DNA) policy for children’s appointments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Ensure all clinical staff maintain Level 3 training triennially (in line with RCGP Safeguarding Toolkit); implement child safeguarding audit annually; review coding of child protection and looked-after children quarterly; establish routine enquiry about domestic abuse in relevant consultations; monthly safeguarding case discussion at practice meetings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Failure to identify adults at risk of abuse, neglect, self-neglect, or exploitation (including financial, domestic, modern slavery)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Vulnerable adult patients, elderly patients, patients with learning disabilities, patients lacking mental capacity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Adult safeguarding lead appointed; Level 3 safeguarding adults training for clinical staff; vulnerable adult register; carer identification and support; information sharing protocols with local safeguarding adults board (SAB)</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Implement routine enquiry about domestic abuse (NICE QS116); use multi-agency risk assessment conference (MARAC) referral pathway; ensure Mental Capacity Act assessments are documented correctly; annual safeguarding adults audit; review and update vulnerable adult register quarterly; ensure non-clinical staff receive Level 1 training</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Failure to comply with mandatory reporting duties (FGM, radicalisation under Prevent, modern slavery)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at risk, wider community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Prevent training completed by all staff; FGM mandatory reporting pathway in place; Modern Slavery Act awareness included in safeguarding training; clinical system prompts for FGM and Prevent referrals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Annual refresher on mandatory reporting duties for all staff; include mandatory reporting scenarios in safeguarding training; display flow charts for FGM, Prevent, and modern slavery referral pathways in consulting rooms and staff room; audit compliance with mandatory reporting quarterly; ensure locums receive briefing on mandatory duties at induction</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Inadequate information sharing with statutory agencies leading to safeguarding failures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Children and adults at risk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Information sharing agreements in place with local authority, police, and SAB/SCB; Caldicott Guardian appointed; staff aware of legal basis for information sharing under Section 47 (children) and Section 45 (adults) of relevant legislation; urgent referral pathway to MASH/MARAT</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Review information sharing agreements annually; ensure all staff understand the Seven Golden Rules for Information Sharing (HM Government 2018); conduct significant event analysis for any information sharing failures; maintain log of safeguarding referrals with outcomes; Caldicott Guardian to review complex sharing decisions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Non-clinical staff (receptionists, administrators) unable to recognise or escalate safeguarding concerns appropriately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(children and vulnerable adults),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Level 1 safeguarding training at induction; receptionist trained on escalation procedure; safeguarding concerns template available on clinical system; posters with key contacts in staff areas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Annual refresher training for all non-clinical staff including reception, admin, and cleaning teams; implement safeguarding scenario-based learning exercises; ensure locum receptionists receive safeguarding brief; review escalation pathway annually; consider safeguarding champions among non-clinical staff</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BS-RA-SG-009  |  Safeguarding (Adults and Children)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2026-05-15T12:28:36.511Z</dcterms:created>
  <dcterms:modified xsi:type="dcterms:W3CDTF">2026-05-15T12:28:36.511Z</dcterms:modified>
</cp:coreProperties>
</file>

<file path=docProps/custom.xml><?xml version="1.0" encoding="utf-8"?>
<Properties xmlns="http://schemas.openxmlformats.org/officeDocument/2006/custom-properties" xmlns:vt="http://schemas.openxmlformats.org/officeDocument/2006/docPropsVTypes"/>
</file>