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00"/>
        <w:jc w:val="center"/>
      </w:pPr>
      <w:r>
        <w:rPr>
          <w:rFonts w:ascii="Arial" w:cs="Arial" w:eastAsia="Arial" w:hAnsi="Arial"/>
          <w:b/>
          <w:bCs/>
          <w:color w:val="0B1D3A"/>
          <w:sz w:val="40"/>
          <w:szCs w:val="40"/>
        </w:rPr>
        <w:t xml:space="preserve">RISK ASSESSMENT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D4AF37"/>
          <w:sz w:val="30"/>
          <w:szCs w:val="30"/>
        </w:rPr>
        <w:t xml:space="preserve">WORKPLACE VIOLENCE AND AGGRESSION</w:t>
      </w:r>
    </w:p>
    <w:p>
      <w:pPr>
        <w:pBdr>
          <w:bottom w:val="single" w:color="D4AF37" w:sz="8" w:space="1"/>
        </w:pBdr>
        <w:spacing w:after="200" w:before="200"/>
      </w:pPr>
    </w:p>
    <w:tbl>
      <w:tblPr>
        <w:tblW w:type="dxa" w:w="14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700"/>
        <w:gridCol w:w="2800"/>
        <w:gridCol w:w="4000"/>
      </w:tblGrid>
      <w:tr>
        <w:tc>
          <w:tcPr>
            <w:tcW w:type="dxa" w:w="2800"/>
            <w:tcBorders>
              <w:top w:val="single" w:color="0B1D3A" w:sz="1"/>
              <w:left w:val="single" w:color="0B1D3A" w:sz="1"/>
              <w:bottom w:val="single" w:color="0B1D3A" w:sz="1"/>
              <w:right w:val="single" w:color="0B1D3A" w:sz="1"/>
            </w:tcBorders>
            <w:shd w:fill="0B1D3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Reference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BS-RA-WVA-002</w:t>
            </w:r>
          </w:p>
        </w:tc>
        <w:tc>
          <w:tcPr>
            <w:tcW w:type="dxa" w:w="2800"/>
            <w:tcBorders>
              <w:top w:val="single" w:color="0B1D3A" w:sz="1"/>
              <w:left w:val="single" w:color="0B1D3A" w:sz="1"/>
              <w:bottom w:val="single" w:color="0B1D3A" w:sz="1"/>
              <w:right w:val="single" w:color="0B1D3A" w:sz="1"/>
            </w:tcBorders>
            <w:shd w:fill="0B1D3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Assessment Date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[Insert Date]</w:t>
            </w:r>
          </w:p>
        </w:tc>
      </w:tr>
      <w:tr>
        <w:tc>
          <w:tcPr>
            <w:tcW w:type="dxa" w:w="2800"/>
            <w:tcBorders>
              <w:top w:val="single" w:color="0B1D3A" w:sz="1"/>
              <w:left w:val="single" w:color="0B1D3A" w:sz="1"/>
              <w:bottom w:val="single" w:color="0B1D3A" w:sz="1"/>
              <w:right w:val="single" w:color="0B1D3A" w:sz="1"/>
            </w:tcBorders>
            <w:shd w:fill="0B1D3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Assessed By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[Insert Name], [Insert Job Title]</w:t>
            </w:r>
          </w:p>
        </w:tc>
        <w:tc>
          <w:tcPr>
            <w:tcW w:type="dxa" w:w="2800"/>
            <w:tcBorders>
              <w:top w:val="single" w:color="0B1D3A" w:sz="1"/>
              <w:left w:val="single" w:color="0B1D3A" w:sz="1"/>
              <w:bottom w:val="single" w:color="0B1D3A" w:sz="1"/>
              <w:right w:val="single" w:color="0B1D3A" w:sz="1"/>
            </w:tcBorders>
            <w:shd w:fill="0B1D3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Review Date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[Insert Date – 12 months from assessment]</w:t>
            </w:r>
          </w:p>
        </w:tc>
      </w:tr>
      <w:tr>
        <w:tc>
          <w:tcPr>
            <w:tcW w:type="dxa" w:w="2800"/>
            <w:tcBorders>
              <w:top w:val="single" w:color="0B1D3A" w:sz="1"/>
              <w:left w:val="single" w:color="0B1D3A" w:sz="1"/>
              <w:bottom w:val="single" w:color="0B1D3A" w:sz="1"/>
              <w:right w:val="single" w:color="0B1D3A" w:sz="1"/>
            </w:tcBorders>
            <w:shd w:fill="0B1D3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Practice Name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[Insert Practice Name]</w:t>
            </w:r>
          </w:p>
        </w:tc>
        <w:tc>
          <w:tcPr>
            <w:tcW w:type="dxa" w:w="2800"/>
            <w:tcBorders>
              <w:top w:val="single" w:color="0B1D3A" w:sz="1"/>
              <w:left w:val="single" w:color="0B1D3A" w:sz="1"/>
              <w:bottom w:val="single" w:color="0B1D3A" w:sz="1"/>
              <w:right w:val="single" w:color="0B1D3A" w:sz="1"/>
            </w:tcBorders>
            <w:shd w:fill="0B1D3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Approved By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[Insert Name], [Insert Job Title]</w:t>
            </w:r>
          </w:p>
        </w:tc>
      </w:tr>
    </w:tbl>
    <w:p>
      <w:pPr>
        <w:spacing w:before="3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0B1D3A"/>
        </w:rPr>
        <w:t xml:space="preserve">1. Purpose</w:t>
      </w:r>
    </w:p>
    <w:p>
      <w:pPr>
        <w:spacing w:after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To identify, assess, and mitigate risks of violence, aggression, and threatening behaviour directed at GP practice staff, ensuring a safe working environment and compliance with employer duties under health and safety legislation.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0B1D3A"/>
        </w:rPr>
        <w:t xml:space="preserve">2. Scope</w:t>
      </w:r>
    </w:p>
    <w:p>
      <w:pPr>
        <w:spacing w:after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All practice premises including reception, waiting areas, consulting rooms, car park, and telephone/online interactions. Applies to all staff including GPs, nurses, healthcare assistants, receptionists, administrative staff, locums, and visiting professionals.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0B1D3A"/>
        </w:rPr>
        <w:t xml:space="preserve">3. Applicable Legislation and Guidance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Health and Safety at Work etc. Act 1974 (Sections 2 and 3)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The Management of Health and Safety at Work Regulations 1999 (Regulation 3)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Reporting of Injuries, Diseases and Dangerous Occurrences Regulations 2013 (RIDDOR)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The Health and Social Care Act 2008 (Regulated Activities) Regulations 2014 (Regulation 13 – Safeguarding service users from abuse and improper treatment)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Protection from Harassment Act 1997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Criminal Justice and Public Order Act 1994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NHS Zero Tolerance Policy (NHS England)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Equality Act 2010 (employer’s duty to protect staff from harassment)</w:t>
      </w:r>
    </w:p>
    <w:p>
      <w:pPr>
        <w:pBdr>
          <w:bottom w:val="single" w:color="D4AF37" w:sz="8" w:space="1"/>
        </w:pBdr>
        <w:spacing w:after="200" w:before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0B1D3A"/>
        </w:rPr>
        <w:t xml:space="preserve">4. Risk Rating Matrix (Likelihood × Severity)</w:t>
      </w:r>
    </w:p>
    <w:p>
      <w:pPr>
        <w:spacing w:after="10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L = Likelihood (1–5)  |  S = Severity (1–5)  |  Rating = L × S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27AE60"/>
          <w:sz w:val="18"/>
          <w:szCs w:val="18"/>
        </w:rPr>
        <w:t xml:space="preserve">Low (1–4)</w:t>
      </w:r>
      <w:r>
        <w:rPr>
          <w:rFonts w:ascii="Arial" w:cs="Arial" w:eastAsia="Arial" w:hAnsi="Arial"/>
          <w:sz w:val="18"/>
          <w:szCs w:val="18"/>
        </w:rPr>
        <w:t xml:space="preserve">    </w:t>
      </w:r>
      <w:r>
        <w:rPr>
          <w:rFonts w:ascii="Arial" w:cs="Arial" w:eastAsia="Arial" w:hAnsi="Arial"/>
          <w:b/>
          <w:bCs/>
          <w:color w:val="F39C12"/>
          <w:sz w:val="18"/>
          <w:szCs w:val="18"/>
        </w:rPr>
        <w:t xml:space="preserve">Medium (5–11)</w:t>
      </w:r>
      <w:r>
        <w:rPr>
          <w:rFonts w:ascii="Arial" w:cs="Arial" w:eastAsia="Arial" w:hAnsi="Arial"/>
          <w:sz w:val="18"/>
          <w:szCs w:val="18"/>
        </w:rPr>
        <w:t xml:space="preserve">    </w:t>
      </w:r>
      <w:r>
        <w:rPr>
          <w:rFonts w:ascii="Arial" w:cs="Arial" w:eastAsia="Arial" w:hAnsi="Arial"/>
          <w:b/>
          <w:bCs/>
          <w:color w:val="E74C3C"/>
          <w:sz w:val="18"/>
          <w:szCs w:val="18"/>
        </w:rPr>
        <w:t xml:space="preserve">High (12–25)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1200"/>
        <w:gridCol w:w="1200"/>
        <w:gridCol w:w="1200"/>
        <w:gridCol w:w="1200"/>
      </w:tblGrid>
      <w:tr>
        <w:tc>
          <w:tcPr>
            <w:tcW w:type="dxa" w:w="1200"/>
            <w:tcBorders>
              <w:top w:val="single" w:color="0B1D3A" w:sz="1"/>
              <w:left w:val="single" w:color="0B1D3A" w:sz="1"/>
              <w:bottom w:val="single" w:color="0B1D3A" w:sz="1"/>
              <w:right w:val="single" w:color="0B1D3A" w:sz="1"/>
            </w:tcBorders>
            <w:shd w:fill="0B1D3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Likelihood / Severity</w:t>
            </w:r>
          </w:p>
        </w:tc>
        <w:tc>
          <w:tcPr>
            <w:tcW w:type="dxa" w:w="1200"/>
            <w:tcBorders>
              <w:top w:val="single" w:color="0B1D3A" w:sz="1"/>
              <w:left w:val="single" w:color="0B1D3A" w:sz="1"/>
              <w:bottom w:val="single" w:color="0B1D3A" w:sz="1"/>
              <w:right w:val="single" w:color="0B1D3A" w:sz="1"/>
            </w:tcBorders>
            <w:shd w:fill="0B1D3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1 - Negligible</w:t>
            </w:r>
          </w:p>
        </w:tc>
        <w:tc>
          <w:tcPr>
            <w:tcW w:type="dxa" w:w="1200"/>
            <w:tcBorders>
              <w:top w:val="single" w:color="0B1D3A" w:sz="1"/>
              <w:left w:val="single" w:color="0B1D3A" w:sz="1"/>
              <w:bottom w:val="single" w:color="0B1D3A" w:sz="1"/>
              <w:right w:val="single" w:color="0B1D3A" w:sz="1"/>
            </w:tcBorders>
            <w:shd w:fill="0B1D3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2 - Minor</w:t>
            </w:r>
          </w:p>
        </w:tc>
        <w:tc>
          <w:tcPr>
            <w:tcW w:type="dxa" w:w="1200"/>
            <w:tcBorders>
              <w:top w:val="single" w:color="0B1D3A" w:sz="1"/>
              <w:left w:val="single" w:color="0B1D3A" w:sz="1"/>
              <w:bottom w:val="single" w:color="0B1D3A" w:sz="1"/>
              <w:right w:val="single" w:color="0B1D3A" w:sz="1"/>
            </w:tcBorders>
            <w:shd w:fill="0B1D3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3 - Moderate</w:t>
            </w:r>
          </w:p>
        </w:tc>
        <w:tc>
          <w:tcPr>
            <w:tcW w:type="dxa" w:w="1200"/>
            <w:tcBorders>
              <w:top w:val="single" w:color="0B1D3A" w:sz="1"/>
              <w:left w:val="single" w:color="0B1D3A" w:sz="1"/>
              <w:bottom w:val="single" w:color="0B1D3A" w:sz="1"/>
              <w:right w:val="single" w:color="0B1D3A" w:sz="1"/>
            </w:tcBorders>
            <w:shd w:fill="0B1D3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4 - Major</w:t>
            </w:r>
          </w:p>
        </w:tc>
        <w:tc>
          <w:tcPr>
            <w:tcW w:type="dxa" w:w="1200"/>
            <w:tcBorders>
              <w:top w:val="single" w:color="0B1D3A" w:sz="1"/>
              <w:left w:val="single" w:color="0B1D3A" w:sz="1"/>
              <w:bottom w:val="single" w:color="0B1D3A" w:sz="1"/>
              <w:right w:val="single" w:color="0B1D3A" w:sz="1"/>
            </w:tcBorders>
            <w:shd w:fill="0B1D3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5 - Catastrophic</w:t>
            </w:r>
          </w:p>
        </w:tc>
      </w:tr>
      <w:tr>
        <w:tc>
          <w:tcPr>
            <w:tcW w:type="dxa" w:w="1200"/>
            <w:tcBorders>
              <w:top w:val="single" w:color="0B1D3A" w:sz="1"/>
              <w:left w:val="single" w:color="0B1D3A" w:sz="1"/>
              <w:bottom w:val="single" w:color="0B1D3A" w:sz="1"/>
              <w:right w:val="single" w:color="0B1D3A" w:sz="1"/>
            </w:tcBorders>
            <w:shd w:fill="0B1D3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1 - Very Unlikely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6"/>
                <w:szCs w:val="16"/>
              </w:rPr>
              <w:t xml:space="preserve">1</w:t>
            </w:r>
            <w:r>
              <w:rPr>
                <w:rFonts w:ascii="Arial" w:cs="Arial" w:eastAsia="Arial" w:hAnsi="Arial"/>
                <w:color w:val="27AE60"/>
                <w:sz w:val="14"/>
                <w:szCs w:val="14"/>
              </w:rPr>
              <w:t xml:space="preserve">
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6"/>
                <w:szCs w:val="16"/>
              </w:rPr>
              <w:t xml:space="preserve">2</w:t>
            </w:r>
            <w:r>
              <w:rPr>
                <w:rFonts w:ascii="Arial" w:cs="Arial" w:eastAsia="Arial" w:hAnsi="Arial"/>
                <w:color w:val="27AE60"/>
                <w:sz w:val="14"/>
                <w:szCs w:val="14"/>
              </w:rPr>
              <w:t xml:space="preserve">
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6"/>
                <w:szCs w:val="16"/>
              </w:rPr>
              <w:t xml:space="preserve">3</w:t>
            </w:r>
            <w:r>
              <w:rPr>
                <w:rFonts w:ascii="Arial" w:cs="Arial" w:eastAsia="Arial" w:hAnsi="Arial"/>
                <w:color w:val="27AE60"/>
                <w:sz w:val="14"/>
                <w:szCs w:val="14"/>
              </w:rPr>
              <w:t xml:space="preserve">
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6"/>
                <w:szCs w:val="16"/>
              </w:rPr>
              <w:t xml:space="preserve">4</w:t>
            </w:r>
            <w:r>
              <w:rPr>
                <w:rFonts w:ascii="Arial" w:cs="Arial" w:eastAsia="Arial" w:hAnsi="Arial"/>
                <w:color w:val="F39C12"/>
                <w:sz w:val="14"/>
                <w:szCs w:val="14"/>
              </w:rPr>
              <w:t xml:space="preserve">
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6"/>
                <w:szCs w:val="16"/>
              </w:rPr>
              <w:t xml:space="preserve">5</w:t>
            </w:r>
            <w:r>
              <w:rPr>
                <w:rFonts w:ascii="Arial" w:cs="Arial" w:eastAsia="Arial" w:hAnsi="Arial"/>
                <w:color w:val="F39C12"/>
                <w:sz w:val="14"/>
                <w:szCs w:val="14"/>
              </w:rPr>
              <w:t xml:space="preserve">
Medium</w:t>
            </w:r>
          </w:p>
        </w:tc>
      </w:tr>
      <w:tr>
        <w:tc>
          <w:tcPr>
            <w:tcW w:type="dxa" w:w="1200"/>
            <w:tcBorders>
              <w:top w:val="single" w:color="0B1D3A" w:sz="1"/>
              <w:left w:val="single" w:color="0B1D3A" w:sz="1"/>
              <w:bottom w:val="single" w:color="0B1D3A" w:sz="1"/>
              <w:right w:val="single" w:color="0B1D3A" w:sz="1"/>
            </w:tcBorders>
            <w:shd w:fill="0B1D3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2 - Unlikely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6"/>
                <w:szCs w:val="16"/>
              </w:rPr>
              <w:t xml:space="preserve">2</w:t>
            </w:r>
            <w:r>
              <w:rPr>
                <w:rFonts w:ascii="Arial" w:cs="Arial" w:eastAsia="Arial" w:hAnsi="Arial"/>
                <w:color w:val="27AE60"/>
                <w:sz w:val="14"/>
                <w:szCs w:val="14"/>
              </w:rPr>
              <w:t xml:space="preserve">
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6"/>
                <w:szCs w:val="16"/>
              </w:rPr>
              <w:t xml:space="preserve">4</w:t>
            </w:r>
            <w:r>
              <w:rPr>
                <w:rFonts w:ascii="Arial" w:cs="Arial" w:eastAsia="Arial" w:hAnsi="Arial"/>
                <w:color w:val="27AE60"/>
                <w:sz w:val="14"/>
                <w:szCs w:val="14"/>
              </w:rPr>
              <w:t xml:space="preserve">
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6"/>
                <w:szCs w:val="16"/>
              </w:rPr>
              <w:t xml:space="preserve">6</w:t>
            </w:r>
            <w:r>
              <w:rPr>
                <w:rFonts w:ascii="Arial" w:cs="Arial" w:eastAsia="Arial" w:hAnsi="Arial"/>
                <w:color w:val="F39C12"/>
                <w:sz w:val="14"/>
                <w:szCs w:val="14"/>
              </w:rPr>
              <w:t xml:space="preserve">
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16"/>
                <w:szCs w:val="16"/>
              </w:rPr>
              <w:t xml:space="preserve">8</w:t>
            </w:r>
            <w:r>
              <w:rPr>
                <w:rFonts w:ascii="Arial" w:cs="Arial" w:eastAsia="Arial" w:hAnsi="Arial"/>
                <w:color w:val="E74C3C"/>
                <w:sz w:val="14"/>
                <w:szCs w:val="14"/>
              </w:rPr>
              <w:t xml:space="preserve">
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16"/>
                <w:szCs w:val="16"/>
              </w:rPr>
              <w:t xml:space="preserve">10</w:t>
            </w:r>
            <w:r>
              <w:rPr>
                <w:rFonts w:ascii="Arial" w:cs="Arial" w:eastAsia="Arial" w:hAnsi="Arial"/>
                <w:color w:val="E74C3C"/>
                <w:sz w:val="14"/>
                <w:szCs w:val="14"/>
              </w:rPr>
              <w:t xml:space="preserve">
High</w:t>
            </w:r>
          </w:p>
        </w:tc>
      </w:tr>
      <w:tr>
        <w:tc>
          <w:tcPr>
            <w:tcW w:type="dxa" w:w="1200"/>
            <w:tcBorders>
              <w:top w:val="single" w:color="0B1D3A" w:sz="1"/>
              <w:left w:val="single" w:color="0B1D3A" w:sz="1"/>
              <w:bottom w:val="single" w:color="0B1D3A" w:sz="1"/>
              <w:right w:val="single" w:color="0B1D3A" w:sz="1"/>
            </w:tcBorders>
            <w:shd w:fill="0B1D3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3 - Possible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6"/>
                <w:szCs w:val="16"/>
              </w:rPr>
              <w:t xml:space="preserve">3</w:t>
            </w:r>
            <w:r>
              <w:rPr>
                <w:rFonts w:ascii="Arial" w:cs="Arial" w:eastAsia="Arial" w:hAnsi="Arial"/>
                <w:color w:val="27AE60"/>
                <w:sz w:val="14"/>
                <w:szCs w:val="14"/>
              </w:rPr>
              <w:t xml:space="preserve">
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6"/>
                <w:szCs w:val="16"/>
              </w:rPr>
              <w:t xml:space="preserve">6</w:t>
            </w:r>
            <w:r>
              <w:rPr>
                <w:rFonts w:ascii="Arial" w:cs="Arial" w:eastAsia="Arial" w:hAnsi="Arial"/>
                <w:color w:val="F39C12"/>
                <w:sz w:val="14"/>
                <w:szCs w:val="14"/>
              </w:rPr>
              <w:t xml:space="preserve">
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16"/>
                <w:szCs w:val="16"/>
              </w:rPr>
              <w:t xml:space="preserve">9</w:t>
            </w:r>
            <w:r>
              <w:rPr>
                <w:rFonts w:ascii="Arial" w:cs="Arial" w:eastAsia="Arial" w:hAnsi="Arial"/>
                <w:color w:val="E74C3C"/>
                <w:sz w:val="14"/>
                <w:szCs w:val="14"/>
              </w:rPr>
              <w:t xml:space="preserve">
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16"/>
                <w:szCs w:val="16"/>
              </w:rPr>
              <w:t xml:space="preserve">12</w:t>
            </w:r>
            <w:r>
              <w:rPr>
                <w:rFonts w:ascii="Arial" w:cs="Arial" w:eastAsia="Arial" w:hAnsi="Arial"/>
                <w:color w:val="E74C3C"/>
                <w:sz w:val="14"/>
                <w:szCs w:val="14"/>
              </w:rPr>
              <w:t xml:space="preserve">
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16"/>
                <w:szCs w:val="16"/>
              </w:rPr>
              <w:t xml:space="preserve">15</w:t>
            </w:r>
            <w:r>
              <w:rPr>
                <w:rFonts w:ascii="Arial" w:cs="Arial" w:eastAsia="Arial" w:hAnsi="Arial"/>
                <w:color w:val="E74C3C"/>
                <w:sz w:val="14"/>
                <w:szCs w:val="14"/>
              </w:rPr>
              <w:t xml:space="preserve">
High</w:t>
            </w:r>
          </w:p>
        </w:tc>
      </w:tr>
      <w:tr>
        <w:tc>
          <w:tcPr>
            <w:tcW w:type="dxa" w:w="1200"/>
            <w:tcBorders>
              <w:top w:val="single" w:color="0B1D3A" w:sz="1"/>
              <w:left w:val="single" w:color="0B1D3A" w:sz="1"/>
              <w:bottom w:val="single" w:color="0B1D3A" w:sz="1"/>
              <w:right w:val="single" w:color="0B1D3A" w:sz="1"/>
            </w:tcBorders>
            <w:shd w:fill="0B1D3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4 - Likely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6"/>
                <w:szCs w:val="16"/>
              </w:rPr>
              <w:t xml:space="preserve">4</w:t>
            </w:r>
            <w:r>
              <w:rPr>
                <w:rFonts w:ascii="Arial" w:cs="Arial" w:eastAsia="Arial" w:hAnsi="Arial"/>
                <w:color w:val="F39C12"/>
                <w:sz w:val="14"/>
                <w:szCs w:val="14"/>
              </w:rPr>
              <w:t xml:space="preserve">
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16"/>
                <w:szCs w:val="16"/>
              </w:rPr>
              <w:t xml:space="preserve">8</w:t>
            </w:r>
            <w:r>
              <w:rPr>
                <w:rFonts w:ascii="Arial" w:cs="Arial" w:eastAsia="Arial" w:hAnsi="Arial"/>
                <w:color w:val="E74C3C"/>
                <w:sz w:val="14"/>
                <w:szCs w:val="14"/>
              </w:rPr>
              <w:t xml:space="preserve">
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16"/>
                <w:szCs w:val="16"/>
              </w:rPr>
              <w:t xml:space="preserve">12</w:t>
            </w:r>
            <w:r>
              <w:rPr>
                <w:rFonts w:ascii="Arial" w:cs="Arial" w:eastAsia="Arial" w:hAnsi="Arial"/>
                <w:color w:val="E74C3C"/>
                <w:sz w:val="14"/>
                <w:szCs w:val="14"/>
              </w:rPr>
              <w:t xml:space="preserve">
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16"/>
                <w:szCs w:val="16"/>
              </w:rPr>
              <w:t xml:space="preserve">16</w:t>
            </w:r>
            <w:r>
              <w:rPr>
                <w:rFonts w:ascii="Arial" w:cs="Arial" w:eastAsia="Arial" w:hAnsi="Arial"/>
                <w:color w:val="E74C3C"/>
                <w:sz w:val="14"/>
                <w:szCs w:val="14"/>
              </w:rPr>
              <w:t xml:space="preserve">
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16"/>
                <w:szCs w:val="16"/>
              </w:rPr>
              <w:t xml:space="preserve">20</w:t>
            </w:r>
            <w:r>
              <w:rPr>
                <w:rFonts w:ascii="Arial" w:cs="Arial" w:eastAsia="Arial" w:hAnsi="Arial"/>
                <w:color w:val="E74C3C"/>
                <w:sz w:val="14"/>
                <w:szCs w:val="14"/>
              </w:rPr>
              <w:t xml:space="preserve">
High</w:t>
            </w:r>
          </w:p>
        </w:tc>
      </w:tr>
      <w:tr>
        <w:tc>
          <w:tcPr>
            <w:tcW w:type="dxa" w:w="1200"/>
            <w:tcBorders>
              <w:top w:val="single" w:color="0B1D3A" w:sz="1"/>
              <w:left w:val="single" w:color="0B1D3A" w:sz="1"/>
              <w:bottom w:val="single" w:color="0B1D3A" w:sz="1"/>
              <w:right w:val="single" w:color="0B1D3A" w:sz="1"/>
            </w:tcBorders>
            <w:shd w:fill="0B1D3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5 - Almost Certain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6"/>
                <w:szCs w:val="16"/>
              </w:rPr>
              <w:t xml:space="preserve">5</w:t>
            </w:r>
            <w:r>
              <w:rPr>
                <w:rFonts w:ascii="Arial" w:cs="Arial" w:eastAsia="Arial" w:hAnsi="Arial"/>
                <w:color w:val="F39C12"/>
                <w:sz w:val="14"/>
                <w:szCs w:val="14"/>
              </w:rPr>
              <w:t xml:space="preserve">
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16"/>
                <w:szCs w:val="16"/>
              </w:rPr>
              <w:t xml:space="preserve">10</w:t>
            </w:r>
            <w:r>
              <w:rPr>
                <w:rFonts w:ascii="Arial" w:cs="Arial" w:eastAsia="Arial" w:hAnsi="Arial"/>
                <w:color w:val="E74C3C"/>
                <w:sz w:val="14"/>
                <w:szCs w:val="14"/>
              </w:rPr>
              <w:t xml:space="preserve">
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16"/>
                <w:szCs w:val="16"/>
              </w:rPr>
              <w:t xml:space="preserve">15</w:t>
            </w:r>
            <w:r>
              <w:rPr>
                <w:rFonts w:ascii="Arial" w:cs="Arial" w:eastAsia="Arial" w:hAnsi="Arial"/>
                <w:color w:val="E74C3C"/>
                <w:sz w:val="14"/>
                <w:szCs w:val="14"/>
              </w:rPr>
              <w:t xml:space="preserve">
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16"/>
                <w:szCs w:val="16"/>
              </w:rPr>
              <w:t xml:space="preserve">20</w:t>
            </w:r>
            <w:r>
              <w:rPr>
                <w:rFonts w:ascii="Arial" w:cs="Arial" w:eastAsia="Arial" w:hAnsi="Arial"/>
                <w:color w:val="E74C3C"/>
                <w:sz w:val="14"/>
                <w:szCs w:val="14"/>
              </w:rPr>
              <w:t xml:space="preserve">
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16"/>
                <w:szCs w:val="16"/>
              </w:rPr>
              <w:t xml:space="preserve">25</w:t>
            </w:r>
            <w:r>
              <w:rPr>
                <w:rFonts w:ascii="Arial" w:cs="Arial" w:eastAsia="Arial" w:hAnsi="Arial"/>
                <w:color w:val="E74C3C"/>
                <w:sz w:val="14"/>
                <w:szCs w:val="14"/>
              </w:rPr>
              <w:t xml:space="preserve">
High</w:t>
            </w:r>
          </w:p>
        </w:tc>
      </w:tr>
    </w:tbl>
    <w:p>
      <w:pPr>
        <w:pBdr>
          <w:bottom w:val="single" w:color="D4AF37" w:sz="8" w:space="1"/>
        </w:pBdr>
        <w:spacing w:after="200" w:before="20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0B1D3A"/>
        </w:rPr>
        <w:t xml:space="preserve">5. Risk Assessment</w:t>
      </w:r>
    </w:p>
    <w:tbl>
      <w:tblPr>
        <w:tblW w:type="dxa" w:w="14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2600"/>
        <w:gridCol w:w="550"/>
        <w:gridCol w:w="550"/>
        <w:gridCol w:w="700"/>
        <w:gridCol w:w="2800"/>
        <w:gridCol w:w="550"/>
        <w:gridCol w:w="550"/>
        <w:gridCol w:w="700"/>
        <w:gridCol w:w="1000"/>
        <w:gridCol w:w="1000"/>
      </w:tblGrid>
      <w:tr>
        <w:tc>
          <w:tcPr>
            <w:tcW w:type="dxa" w:w="2200"/>
            <w:tcBorders>
              <w:top w:val="single" w:color="0B1D3A" w:sz="1"/>
              <w:left w:val="single" w:color="0B1D3A" w:sz="1"/>
              <w:bottom w:val="single" w:color="0B1D3A" w:sz="1"/>
              <w:right w:val="single" w:color="0B1D3A" w:sz="1"/>
            </w:tcBorders>
            <w:shd w:fill="0B1D3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0B1D3A" w:sz="1"/>
              <w:left w:val="single" w:color="0B1D3A" w:sz="1"/>
              <w:bottom w:val="single" w:color="0B1D3A" w:sz="1"/>
              <w:right w:val="single" w:color="0B1D3A" w:sz="1"/>
            </w:tcBorders>
            <w:shd w:fill="0B1D3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Borders>
              <w:top w:val="single" w:color="0B1D3A" w:sz="1"/>
              <w:left w:val="single" w:color="0B1D3A" w:sz="1"/>
              <w:bottom w:val="single" w:color="0B1D3A" w:sz="1"/>
              <w:right w:val="single" w:color="0B1D3A" w:sz="1"/>
            </w:tcBorders>
            <w:shd w:fill="0B1D3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gridSpan w:val="3"/>
            <w:tcBorders>
              <w:top w:val="single" w:color="0B1D3A" w:sz="1"/>
              <w:left w:val="single" w:color="0B1D3A" w:sz="1"/>
              <w:bottom w:val="single" w:color="0B1D3A" w:sz="1"/>
              <w:right w:val="single" w:color="0B1D3A" w:sz="1"/>
            </w:tcBorders>
            <w:shd w:fill="0B1D3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F37"/>
                <w:sz w:val="18"/>
                <w:szCs w:val="18"/>
              </w:rPr>
              <w:t xml:space="preserve">INITIAL RISK</w:t>
            </w:r>
          </w:p>
        </w:tc>
        <w:tc>
          <w:tcPr>
            <w:tcW w:type="dxa" w:w="2800"/>
            <w:tcBorders>
              <w:top w:val="single" w:color="0B1D3A" w:sz="1"/>
              <w:left w:val="single" w:color="0B1D3A" w:sz="1"/>
              <w:bottom w:val="single" w:color="0B1D3A" w:sz="1"/>
              <w:right w:val="single" w:color="0B1D3A" w:sz="1"/>
            </w:tcBorders>
            <w:shd w:fill="0B1D3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gridSpan w:val="3"/>
            <w:tcBorders>
              <w:top w:val="single" w:color="0B1D3A" w:sz="1"/>
              <w:left w:val="single" w:color="0B1D3A" w:sz="1"/>
              <w:bottom w:val="single" w:color="0B1D3A" w:sz="1"/>
              <w:right w:val="single" w:color="0B1D3A" w:sz="1"/>
            </w:tcBorders>
            <w:shd w:fill="0B1D3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F37"/>
                <w:sz w:val="18"/>
                <w:szCs w:val="18"/>
              </w:rPr>
              <w:t xml:space="preserve">RESIDUAL RISK</w:t>
            </w:r>
          </w:p>
        </w:tc>
        <w:tc>
          <w:tcPr>
            <w:tcW w:type="dxa" w:w="1000"/>
            <w:tcBorders>
              <w:top w:val="single" w:color="0B1D3A" w:sz="1"/>
              <w:left w:val="single" w:color="0B1D3A" w:sz="1"/>
              <w:bottom w:val="single" w:color="0B1D3A" w:sz="1"/>
              <w:right w:val="single" w:color="0B1D3A" w:sz="1"/>
            </w:tcBorders>
            <w:shd w:fill="0B1D3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0B1D3A" w:sz="1"/>
              <w:left w:val="single" w:color="0B1D3A" w:sz="1"/>
              <w:bottom w:val="single" w:color="0B1D3A" w:sz="1"/>
              <w:right w:val="single" w:color="0B1D3A" w:sz="1"/>
            </w:tcBorders>
            <w:shd w:fill="0B1D3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0B1D3A" w:sz="1"/>
              <w:left w:val="single" w:color="0B1D3A" w:sz="1"/>
              <w:bottom w:val="single" w:color="0B1D3A" w:sz="1"/>
              <w:right w:val="single" w:color="0B1D3A" w:sz="1"/>
            </w:tcBorders>
            <w:shd w:fill="0B1D3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Hazard / Risk</w:t>
            </w:r>
          </w:p>
        </w:tc>
        <w:tc>
          <w:tcPr>
            <w:tcW w:type="dxa" w:w="1100"/>
            <w:tcBorders>
              <w:top w:val="single" w:color="0B1D3A" w:sz="1"/>
              <w:left w:val="single" w:color="0B1D3A" w:sz="1"/>
              <w:bottom w:val="single" w:color="0B1D3A" w:sz="1"/>
              <w:right w:val="single" w:color="0B1D3A" w:sz="1"/>
            </w:tcBorders>
            <w:shd w:fill="0B1D3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Who Is at Risk?</w:t>
            </w:r>
          </w:p>
        </w:tc>
        <w:tc>
          <w:tcPr>
            <w:tcW w:type="dxa" w:w="2600"/>
            <w:tcBorders>
              <w:top w:val="single" w:color="0B1D3A" w:sz="1"/>
              <w:left w:val="single" w:color="0B1D3A" w:sz="1"/>
              <w:bottom w:val="single" w:color="0B1D3A" w:sz="1"/>
              <w:right w:val="single" w:color="0B1D3A" w:sz="1"/>
            </w:tcBorders>
            <w:shd w:fill="0B1D3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Existing Control Measures</w:t>
            </w:r>
          </w:p>
        </w:tc>
        <w:tc>
          <w:tcPr>
            <w:tcW w:type="dxa" w:w="550"/>
            <w:tcBorders>
              <w:top w:val="single" w:color="0B1D3A" w:sz="1"/>
              <w:left w:val="single" w:color="0B1D3A" w:sz="1"/>
              <w:bottom w:val="single" w:color="0B1D3A" w:sz="1"/>
              <w:right w:val="single" w:color="0B1D3A" w:sz="1"/>
            </w:tcBorders>
            <w:shd w:fill="0B1D3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</w:t>
            </w:r>
          </w:p>
        </w:tc>
        <w:tc>
          <w:tcPr>
            <w:tcW w:type="dxa" w:w="550"/>
            <w:tcBorders>
              <w:top w:val="single" w:color="0B1D3A" w:sz="1"/>
              <w:left w:val="single" w:color="0B1D3A" w:sz="1"/>
              <w:bottom w:val="single" w:color="0B1D3A" w:sz="1"/>
              <w:right w:val="single" w:color="0B1D3A" w:sz="1"/>
            </w:tcBorders>
            <w:shd w:fill="0B1D3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</w:t>
            </w:r>
          </w:p>
        </w:tc>
        <w:tc>
          <w:tcPr>
            <w:tcW w:type="dxa" w:w="700"/>
            <w:tcBorders>
              <w:top w:val="single" w:color="0B1D3A" w:sz="1"/>
              <w:left w:val="single" w:color="0B1D3A" w:sz="1"/>
              <w:bottom w:val="single" w:color="0B1D3A" w:sz="1"/>
              <w:right w:val="single" w:color="0B1D3A" w:sz="1"/>
            </w:tcBorders>
            <w:shd w:fill="0B1D3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Rating</w:t>
            </w:r>
          </w:p>
        </w:tc>
        <w:tc>
          <w:tcPr>
            <w:tcW w:type="dxa" w:w="2800"/>
            <w:tcBorders>
              <w:top w:val="single" w:color="0B1D3A" w:sz="1"/>
              <w:left w:val="single" w:color="0B1D3A" w:sz="1"/>
              <w:bottom w:val="single" w:color="0B1D3A" w:sz="1"/>
              <w:right w:val="single" w:color="0B1D3A" w:sz="1"/>
            </w:tcBorders>
            <w:shd w:fill="0B1D3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Additional Control Measures Required</w:t>
            </w:r>
          </w:p>
        </w:tc>
        <w:tc>
          <w:tcPr>
            <w:tcW w:type="dxa" w:w="550"/>
            <w:tcBorders>
              <w:top w:val="single" w:color="0B1D3A" w:sz="1"/>
              <w:left w:val="single" w:color="0B1D3A" w:sz="1"/>
              <w:bottom w:val="single" w:color="0B1D3A" w:sz="1"/>
              <w:right w:val="single" w:color="0B1D3A" w:sz="1"/>
            </w:tcBorders>
            <w:shd w:fill="0B1D3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</w:t>
            </w:r>
          </w:p>
        </w:tc>
        <w:tc>
          <w:tcPr>
            <w:tcW w:type="dxa" w:w="550"/>
            <w:tcBorders>
              <w:top w:val="single" w:color="0B1D3A" w:sz="1"/>
              <w:left w:val="single" w:color="0B1D3A" w:sz="1"/>
              <w:bottom w:val="single" w:color="0B1D3A" w:sz="1"/>
              <w:right w:val="single" w:color="0B1D3A" w:sz="1"/>
            </w:tcBorders>
            <w:shd w:fill="0B1D3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</w:t>
            </w:r>
          </w:p>
        </w:tc>
        <w:tc>
          <w:tcPr>
            <w:tcW w:type="dxa" w:w="700"/>
            <w:tcBorders>
              <w:top w:val="single" w:color="0B1D3A" w:sz="1"/>
              <w:left w:val="single" w:color="0B1D3A" w:sz="1"/>
              <w:bottom w:val="single" w:color="0B1D3A" w:sz="1"/>
              <w:right w:val="single" w:color="0B1D3A" w:sz="1"/>
            </w:tcBorders>
            <w:shd w:fill="0B1D3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Rating</w:t>
            </w:r>
          </w:p>
        </w:tc>
        <w:tc>
          <w:tcPr>
            <w:tcW w:type="dxa" w:w="1000"/>
            <w:tcBorders>
              <w:top w:val="single" w:color="0B1D3A" w:sz="1"/>
              <w:left w:val="single" w:color="0B1D3A" w:sz="1"/>
              <w:bottom w:val="single" w:color="0B1D3A" w:sz="1"/>
              <w:right w:val="single" w:color="0B1D3A" w:sz="1"/>
            </w:tcBorders>
            <w:shd w:fill="0B1D3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 Owner</w:t>
            </w:r>
          </w:p>
        </w:tc>
        <w:tc>
          <w:tcPr>
            <w:tcW w:type="dxa" w:w="1000"/>
            <w:tcBorders>
              <w:top w:val="single" w:color="0B1D3A" w:sz="1"/>
              <w:left w:val="single" w:color="0B1D3A" w:sz="1"/>
              <w:bottom w:val="single" w:color="0B1D3A" w:sz="1"/>
              <w:right w:val="single" w:color="0B1D3A" w:sz="1"/>
            </w:tcBorders>
            <w:shd w:fill="0B1D3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 Date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Physical assault on reception staff by patients frustrated with wait times or appointment availability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Reception staff, administrative staff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Panic alarm at reception; raised reception counter with security screen; staff trained in conflict resolution; zero tolerance signage displayed; incident reporting system in place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17"/>
                <w:szCs w:val="17"/>
              </w:rPr>
              <w:t xml:space="preserve">3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17"/>
                <w:szCs w:val="17"/>
              </w:rPr>
              <w:t xml:space="preserve">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17"/>
                <w:szCs w:val="17"/>
              </w:rPr>
              <w:t xml:space="preserve">High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Install CCTV in reception and waiting area; review reception layout for escape routes; implement de-escalation refresher training every 6 months; establish formal lone working protocol; liaise with local police for practice security review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17"/>
                <w:szCs w:val="17"/>
              </w:rPr>
              <w:t xml:space="preserve">2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17"/>
                <w:szCs w:val="17"/>
              </w:rPr>
              <w:t xml:space="preserve">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17"/>
                <w:szCs w:val="17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[Insert Name]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[Insert Date]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Verbal abuse, threats, or intimidation directed at clinicians during consultations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GPs, nurses, healthcare assistants, pharmacists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Consulting rooms have two exits where possible; personal alarms available; patient behaviour agreement; flagging system for patients with history of aggression; chaperone policy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7"/>
                <w:szCs w:val="17"/>
              </w:rPr>
              <w:t xml:space="preserve">3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7"/>
                <w:szCs w:val="17"/>
              </w:rPr>
              <w:t xml:space="preserve">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7"/>
                <w:szCs w:val="17"/>
              </w:rPr>
              <w:t xml:space="preserve">Medium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Review and update patient flagging system quarterly; implement post-incident debrief protocol; offer staff access to Employee Assistance Programme (EAP); consider duress alarm system in all consulting rooms; formal written warnings to aggressive patients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7"/>
                <w:szCs w:val="17"/>
              </w:rPr>
              <w:t xml:space="preserve">2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7"/>
                <w:szCs w:val="17"/>
              </w:rPr>
              <w:t xml:space="preserve">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7"/>
                <w:szCs w:val="17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[Insert Name]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[Insert Date]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Aggression during home visits to patients in the community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GPs, nurses, community healthcare workers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Lone worker policy; staff carry mobile phones; buddy system for high-risk visits; risk assessment before first visit to known aggressive patients; home visit log maintained at practice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17"/>
                <w:szCs w:val="17"/>
              </w:rPr>
              <w:t xml:space="preserve">2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17"/>
                <w:szCs w:val="17"/>
              </w:rPr>
              <w:t xml:space="preserve">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17"/>
                <w:szCs w:val="17"/>
              </w:rPr>
              <w:t xml:space="preserve">High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Issue personal safety alarms/lone worker devices with GPS tracking; establish check-in protocol with practice at start and end of each visit; conduct joint visits where risk is identified; review patient home visit risk flags monthly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7"/>
                <w:szCs w:val="17"/>
              </w:rPr>
              <w:t xml:space="preserve">1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7"/>
                <w:szCs w:val="17"/>
              </w:rPr>
              <w:t xml:space="preserve">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7"/>
                <w:szCs w:val="17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[Insert Name]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[Insert Date]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Online abuse and threatening communications via patient portal, email, or social media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All staff, particularly named clinicians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IT acceptable use policy; social media policy; staff trained not to engage with abusive communications; electronic communications monitored by practice manager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7"/>
                <w:szCs w:val="17"/>
              </w:rPr>
              <w:t xml:space="preserve">3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7"/>
                <w:szCs w:val="17"/>
              </w:rPr>
              <w:t xml:space="preserve">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7"/>
                <w:szCs w:val="17"/>
              </w:rPr>
              <w:t xml:space="preserve">Medium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Implement formal escalation pathway for online threats; report criminal threats to police; ensure staff are not required to use personal accounts for work; quarterly review of online abuse incidents; add online conduct to patient behaviour agreement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7"/>
                <w:szCs w:val="17"/>
              </w:rPr>
              <w:t xml:space="preserve">2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7"/>
                <w:szCs w:val="17"/>
              </w:rPr>
              <w:t xml:space="preserve">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7"/>
                <w:szCs w:val="17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[Insert Name]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[Insert Date]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Psychological impact on staff following violent or threatening incidents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All staff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Incident reporting and investigation process; access to occupational health; supportive management culture; return-to-work interviews after absence related to workplace incidents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7"/>
                <w:szCs w:val="17"/>
              </w:rPr>
              <w:t xml:space="preserve">3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7"/>
                <w:szCs w:val="17"/>
              </w:rPr>
              <w:t xml:space="preserve">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7"/>
                <w:szCs w:val="17"/>
              </w:rPr>
              <w:t xml:space="preserve">Medium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Formalise post-incident support pathway including immediate debrief, 72-hour welfare check, and referral to counselling; maintain confidential incident register; annual staff wellbeing survey; consider trauma-informed practice training for management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7"/>
                <w:szCs w:val="17"/>
              </w:rPr>
              <w:t xml:space="preserve">2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7"/>
                <w:szCs w:val="17"/>
              </w:rPr>
              <w:t xml:space="preserve">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7"/>
                <w:szCs w:val="17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[Insert Name]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[Insert Date]</w:t>
            </w:r>
          </w:p>
        </w:tc>
      </w:tr>
    </w:tbl>
    <w:p>
      <w:r>
        <w:br w:type="page"/>
      </w:r>
    </w:p>
    <w:p>
      <w:pPr>
        <w:pBdr>
          <w:bottom w:val="single" w:color="D4AF37" w:sz="8" w:space="1"/>
        </w:pBdr>
        <w:spacing w:after="200" w:before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0B1D3A"/>
        </w:rPr>
        <w:t xml:space="preserve">6. Assessment Sign-Off</w:t>
      </w:r>
    </w:p>
    <w:p>
      <w:pPr>
        <w:spacing w:after="200" w:before="1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This risk assessment has been reviewed and approved by the following authorised persons. It shall be reviewed at least annually, or sooner if there is a significant change in work practices, legislation, or following an incident.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300"/>
        <w:gridCol w:w="3300"/>
      </w:tblGrid>
      <w:tr>
        <w:tc>
          <w:tcPr>
            <w:tcW w:type="dxa" w:w="3400"/>
            <w:tcBorders>
              <w:top w:val="single" w:color="0B1D3A" w:sz="1"/>
              <w:left w:val="single" w:color="0B1D3A" w:sz="1"/>
              <w:bottom w:val="single" w:color="0B1D3A" w:sz="1"/>
              <w:right w:val="single" w:color="0B1D3A" w:sz="1"/>
            </w:tcBorders>
            <w:shd w:fill="0B1D3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3300"/>
            <w:tcBorders>
              <w:top w:val="single" w:color="0B1D3A" w:sz="1"/>
              <w:left w:val="single" w:color="0B1D3A" w:sz="1"/>
              <w:bottom w:val="single" w:color="0B1D3A" w:sz="1"/>
              <w:right w:val="single" w:color="0B1D3A" w:sz="1"/>
            </w:tcBorders>
            <w:shd w:fill="0B1D3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Signature / Name</w:t>
            </w:r>
          </w:p>
        </w:tc>
        <w:tc>
          <w:tcPr>
            <w:tcW w:type="dxa" w:w="3300"/>
            <w:tcBorders>
              <w:top w:val="single" w:color="0B1D3A" w:sz="1"/>
              <w:left w:val="single" w:color="0B1D3A" w:sz="1"/>
              <w:bottom w:val="single" w:color="0B1D3A" w:sz="1"/>
              <w:right w:val="single" w:color="0B1D3A" w:sz="1"/>
            </w:tcBorders>
            <w:shd w:fill="0B1D3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Assessor: [Insert Name]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Practice Manager: [Insert Name]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Senior Partner / Lead GP: [Insert Name]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Health &amp; Safety Lead: [Insert Name]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/>
            </w:r>
          </w:p>
        </w:tc>
      </w:tr>
    </w:tbl>
    <w:p>
      <w:pPr>
        <w:spacing w:before="300"/>
      </w:pPr>
    </w:p>
    <w:p>
      <w:pPr>
        <w:pBdr>
          <w:bottom w:val="single" w:color="D4AF37" w:sz="8" w:space="1"/>
        </w:pBdr>
        <w:spacing w:after="200" w:before="20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0B1D3A"/>
          <w:sz w:val="22"/>
          <w:szCs w:val="22"/>
        </w:rPr>
        <w:t xml:space="preserve">Document Control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2500"/>
        <w:gridCol w:w="2500"/>
      </w:tblGrid>
      <w:tr>
        <w:tc>
          <w:tcPr>
            <w:tcW w:type="dxa" w:w="2500"/>
            <w:tcBorders>
              <w:top w:val="single" w:color="0B1D3A" w:sz="1"/>
              <w:left w:val="single" w:color="0B1D3A" w:sz="1"/>
              <w:bottom w:val="single" w:color="0B1D3A" w:sz="1"/>
              <w:right w:val="single" w:color="0B1D3A" w:sz="1"/>
            </w:tcBorders>
            <w:shd w:fill="0B1D3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2500"/>
            <w:tcBorders>
              <w:top w:val="single" w:color="0B1D3A" w:sz="1"/>
              <w:left w:val="single" w:color="0B1D3A" w:sz="1"/>
              <w:bottom w:val="single" w:color="0B1D3A" w:sz="1"/>
              <w:right w:val="single" w:color="0B1D3A" w:sz="1"/>
            </w:tcBorders>
            <w:shd w:fill="0B1D3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500"/>
            <w:tcBorders>
              <w:top w:val="single" w:color="0B1D3A" w:sz="1"/>
              <w:left w:val="single" w:color="0B1D3A" w:sz="1"/>
              <w:bottom w:val="single" w:color="0B1D3A" w:sz="1"/>
              <w:right w:val="single" w:color="0B1D3A" w:sz="1"/>
            </w:tcBorders>
            <w:shd w:fill="0B1D3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2500"/>
            <w:tcBorders>
              <w:top w:val="single" w:color="0B1D3A" w:sz="1"/>
              <w:left w:val="single" w:color="0B1D3A" w:sz="1"/>
              <w:bottom w:val="single" w:color="0B1D3A" w:sz="1"/>
              <w:right w:val="single" w:color="0B1D3A" w:sz="1"/>
            </w:tcBorders>
            <w:shd w:fill="0B1D3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Changes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1.0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[Insert Date]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[Insert Name]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Initial issue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/>
            </w:r>
          </w:p>
        </w:tc>
      </w:tr>
    </w:tbl>
    <w:p>
      <w:pPr>
        <w:spacing w:before="300"/>
      </w:pPr>
    </w:p>
    <w:p>
      <w:pPr>
        <w:pBdr>
          <w:top w:val="single" w:color="D4AF37" w:sz="4" w:space="1"/>
        </w:pBdr>
        <w:spacing w:before="200"/>
        <w:jc w:val="center"/>
      </w:pPr>
      <w:r>
        <w:rPr>
          <w:rFonts w:ascii="Arial" w:cs="Arial" w:eastAsia="Arial" w:hAnsi="Arial"/>
          <w:b/>
          <w:bCs/>
          <w:color w:val="0B1D3A"/>
          <w:sz w:val="18"/>
          <w:szCs w:val="18"/>
        </w:rPr>
        <w:t xml:space="preserve">Prepared by Barker Scott  |  barker-scott.co.uk  |  Health &amp; Safety Consultants</w:t>
      </w:r>
    </w:p>
    <w:p>
      <w:pPr>
        <w:spacing w:before="60"/>
        <w:jc w:val="center"/>
      </w:pPr>
      <w:r>
        <w:rPr>
          <w:rFonts w:ascii="Arial" w:cs="Arial" w:eastAsia="Arial" w:hAnsi="Arial"/>
          <w:i/>
          <w:iCs/>
          <w:color w:val="888888"/>
          <w:sz w:val="14"/>
          <w:szCs w:val="14"/>
        </w:rPr>
        <w:t xml:space="preserve">This document is confidential and intended solely for use by the named practice. Unauthorised reproduction or distribution is prohibited.</w:t>
      </w:r>
    </w:p>
    <w:sectPr>
      <w:headerReference w:type="default" r:id="rId7"/>
      <w:footerReference w:type="default" r:id="rId8"/>
      <w:pgSz w:w="16838" w:h="11906" w:orient="landscape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AF37" w:sz="4" w:space="1"/>
      </w:pBdr>
      <w:spacing w:before="80"/>
    </w:pPr>
    <w:r>
      <w:rPr>
        <w:rFonts w:ascii="Arial" w:cs="Arial" w:eastAsia="Arial" w:hAnsi="Arial"/>
        <w:color w:val="888888"/>
        <w:sz w:val="14"/>
        <w:szCs w:val="14"/>
      </w:rPr>
      <w:t xml:space="preserve">BS-RA-WVA-002  |  Workplace Violence and Aggression  |  </w:t>
    </w:r>
    <w:r>
      <w:rPr>
        <w:rFonts w:ascii="Arial" w:cs="Arial" w:eastAsia="Arial" w:hAnsi="Arial"/>
        <w:color w:val="888888"/>
        <w:sz w:val="14"/>
        <w:szCs w:val="14"/>
      </w:rPr>
      <w:t xml:space="preserve">Page </w:t>
    </w:r>
    <w:r>
      <w:rPr>
        <w:rFonts w:ascii="Arial" w:cs="Arial" w:eastAsia="Arial" w:hAnsi="Arial"/>
        <w:color w:val="888888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4"/>
        <w:szCs w:val="14"/>
      </w:rPr>
      <w:t xml:space="preserve">  |  Barker Scott © 2026  | 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60"/>
      <w:jc w:val="left"/>
    </w:pPr>
    <w:r>
      <w:rPr>
        <w:rFonts w:ascii="Arial" w:cs="Arial" w:eastAsia="Arial" w:hAnsi="Arial"/>
        <w:b/>
        <w:bCs/>
        <w:color w:val="0B1D3A"/>
        <w:sz w:val="28"/>
        <w:szCs w:val="28"/>
      </w:rPr>
      <w:t xml:space="preserve">BARKER SCOTT</w:t>
    </w:r>
    <w:r>
      <w:rPr>
        <w:rFonts w:ascii="Arial" w:cs="Arial" w:eastAsia="Arial" w:hAnsi="Arial"/>
        <w:color w:val="D4AF37"/>
        <w:sz w:val="20"/>
        <w:szCs w:val="20"/>
      </w:rPr>
      <w:t xml:space="preserve">  |  </w:t>
    </w:r>
    <w:r>
      <w:rPr>
        <w:rFonts w:ascii="Arial" w:cs="Arial" w:eastAsia="Arial" w:hAnsi="Arial"/>
        <w:color w:val="0B1D3A"/>
        <w:sz w:val="20"/>
        <w:szCs w:val="20"/>
      </w:rPr>
      <w:t xml:space="preserve">Health &amp; Safety Consultants</w:t>
    </w:r>
  </w:p>
  <w:p>
    <w:pPr>
      <w:pBdr>
        <w:bottom w:val="single" w:color="D4AF37" w:sz="6" w:space="1"/>
      </w:pBdr>
      <w:spacing w:after="40"/>
    </w:pPr>
    <w:r>
      <w:rPr>
        <w:rFonts w:ascii="Arial" w:cs="Arial" w:eastAsia="Arial" w:hAnsi="Arial"/>
        <w:i/>
        <w:iCs/>
        <w:color w:val="888888"/>
        <w:sz w:val="16"/>
        <w:szCs w:val="16"/>
      </w:rPr>
      <w:t xml:space="preserve">barker-scott.co.uk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0B1D3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0B1D3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2026-05-15T12:28:35.835Z</dcterms:created>
  <dcterms:modified xsi:type="dcterms:W3CDTF">2026-05-15T12:28:35.835Z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