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COSHH (Control of Substances
Hazardous to Health)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BS-PHC-RA-COSHH-006</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COSHH (Control of Substances
Hazardous to Health)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BS-PHC-RA-COSHH-006</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hazardous substances used, stored, or generated within [Insert Organisation Name] and establishes control measures to prevent or adequately control exposure. It ensures compliance with the Control of Substances Hazardous to Health Regulations 2002 (COSHH), the Health and Safety at Work etc. Act 1974, and CQC Regulation 12 and Regulation 15.</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substances hazardous to health encountered in the clinic, including cleaning chemicals and disinfectants, clinical specimen materials (blood, tissue, body fluids), sterilisation and decontamination chemicals (e.g. glutaraldehyde, peracetic acid), pharmaceutical substances, anaesthetic gases (where applicable), and latex and other sensitising materials.</w:t>
      </w:r>
    </w:p>
    <w:p>
      <w:pPr>
        <w:pStyle w:val="Heading1"/>
      </w:pPr>
      <w:r>
        <w:rPr>
          <w:rFonts w:ascii="Arial" w:cs="Arial" w:eastAsia="Arial" w:hAnsi="Arial"/>
          <w:b/>
          <w:bCs/>
          <w:color w:val="0B1D3A"/>
          <w:sz w:val="28"/>
          <w:szCs w:val="28"/>
        </w:rPr>
        <w:t xml:space="preserve">3. Assessment Methodology</w:t>
      </w:r>
    </w:p>
    <w:p>
      <w:pPr>
        <w:spacing w:after="120"/>
        <w:jc w:val="both"/>
      </w:pPr>
      <w:r>
        <w:rPr>
          <w:rFonts w:ascii="Arial" w:cs="Arial" w:eastAsia="Arial" w:hAnsi="Arial"/>
          <w:color w:val="333333"/>
          <w:sz w:val="22"/>
          <w:szCs w:val="22"/>
        </w:rPr>
        <w:t xml:space="preserve">Safety Data Sheets (SDS) have been obtained for all hazardous substances. Exposure risk has been assessed considering the substance hazard classification (CLP Regulation), the route of exposure (inhalation, skin contact, ingestion, injection), the duration and frequency of exposure, and the vulnerability of exposed persons (including pregnant workers and those with pre-existing conditions).</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Skin and respiratory exposure to clinical disinfectants and cleaning agents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Cleaning Staff, 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SDS available for all products</w:t>
            </w:r>
          </w:p>
          <w:p>
            <w:pPr>
              <w:spacing w:after="40"/>
              <w:jc w:val="left"/>
            </w:pPr>
            <w:r>
              <w:rPr>
                <w:rFonts w:ascii="Arial" w:cs="Arial" w:eastAsia="Arial" w:hAnsi="Arial"/>
                <w:b w:val="false"/>
                <w:bCs w:val="false"/>
                <w:color w:val="333333"/>
                <w:sz w:val="16"/>
                <w:szCs w:val="16"/>
              </w:rPr>
              <w:t xml:space="preserve">PPE provided (gloves, aprons, eye protection)</w:t>
            </w:r>
          </w:p>
          <w:p>
            <w:pPr>
              <w:spacing w:after="0"/>
              <w:jc w:val="left"/>
            </w:pPr>
            <w:r>
              <w:rPr>
                <w:rFonts w:ascii="Arial" w:cs="Arial" w:eastAsia="Arial" w:hAnsi="Arial"/>
                <w:b w:val="false"/>
                <w:bCs w:val="false"/>
                <w:color w:val="333333"/>
                <w:sz w:val="16"/>
                <w:szCs w:val="16"/>
              </w:rPr>
              <w:t xml:space="preserve">Ventilation in cleaning/decontamination areas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COSHH training at induction and annually</w:t>
            </w:r>
          </w:p>
          <w:p>
            <w:pPr>
              <w:spacing w:after="40"/>
              <w:jc w:val="left"/>
            </w:pPr>
            <w:r>
              <w:rPr>
                <w:rFonts w:ascii="Arial" w:cs="Arial" w:eastAsia="Arial" w:hAnsi="Arial"/>
                <w:b w:val="false"/>
                <w:bCs w:val="false"/>
                <w:color w:val="333333"/>
                <w:sz w:val="16"/>
                <w:szCs w:val="16"/>
              </w:rPr>
              <w:t xml:space="preserve">Substitute less hazardous products where possible</w:t>
            </w:r>
          </w:p>
          <w:p>
            <w:pPr>
              <w:spacing w:after="0"/>
              <w:jc w:val="left"/>
            </w:pPr>
            <w:r>
              <w:rPr>
                <w:rFonts w:ascii="Arial" w:cs="Arial" w:eastAsia="Arial" w:hAnsi="Arial"/>
                <w:b w:val="false"/>
                <w:bCs w:val="false"/>
                <w:color w:val="333333"/>
                <w:sz w:val="16"/>
                <w:szCs w:val="16"/>
              </w:rPr>
              <w:t xml:space="preserve">Health surveillance for staff with high exposure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Exposure to blood and body fluids (biological agents)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Standard precautions followed</w:t>
            </w:r>
          </w:p>
          <w:p>
            <w:pPr>
              <w:spacing w:after="40"/>
              <w:jc w:val="left"/>
            </w:pPr>
            <w:r>
              <w:rPr>
                <w:rFonts w:ascii="Arial" w:cs="Arial" w:eastAsia="Arial" w:hAnsi="Arial"/>
                <w:b w:val="false"/>
                <w:bCs w:val="false"/>
                <w:color w:val="333333"/>
                <w:sz w:val="16"/>
                <w:szCs w:val="16"/>
              </w:rPr>
              <w:t xml:space="preserve">PPE for all procedures with splash risk</w:t>
            </w:r>
          </w:p>
          <w:p>
            <w:pPr>
              <w:spacing w:after="0"/>
              <w:jc w:val="left"/>
            </w:pPr>
            <w:r>
              <w:rPr>
                <w:rFonts w:ascii="Arial" w:cs="Arial" w:eastAsia="Arial" w:hAnsi="Arial"/>
                <w:b w:val="false"/>
                <w:bCs w:val="false"/>
                <w:color w:val="333333"/>
                <w:sz w:val="16"/>
                <w:szCs w:val="16"/>
              </w:rPr>
              <w:t xml:space="preserve">Sharps safety devices in use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Post-exposure prophylaxis protocol reviewed annually</w:t>
            </w:r>
          </w:p>
          <w:p>
            <w:pPr>
              <w:spacing w:after="40"/>
              <w:jc w:val="left"/>
            </w:pPr>
            <w:r>
              <w:rPr>
                <w:rFonts w:ascii="Arial" w:cs="Arial" w:eastAsia="Arial" w:hAnsi="Arial"/>
                <w:b w:val="false"/>
                <w:bCs w:val="false"/>
                <w:color w:val="333333"/>
                <w:sz w:val="16"/>
                <w:szCs w:val="16"/>
              </w:rPr>
              <w:t xml:space="preserve">Hepatitis B immunisation for all clinical staff</w:t>
            </w:r>
          </w:p>
          <w:p>
            <w:pPr>
              <w:spacing w:after="0"/>
              <w:jc w:val="left"/>
            </w:pPr>
            <w:r>
              <w:rPr>
                <w:rFonts w:ascii="Arial" w:cs="Arial" w:eastAsia="Arial" w:hAnsi="Arial"/>
                <w:b w:val="false"/>
                <w:bCs w:val="false"/>
                <w:color w:val="333333"/>
                <w:sz w:val="16"/>
                <w:szCs w:val="16"/>
              </w:rPr>
              <w:t xml:space="preserve">Splash incident reporting and investigation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Chemical splash or spill in decontamination area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Decontamination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Chemical spill kit available</w:t>
            </w:r>
          </w:p>
          <w:p>
            <w:pPr>
              <w:spacing w:after="40"/>
              <w:jc w:val="left"/>
            </w:pPr>
            <w:r>
              <w:rPr>
                <w:rFonts w:ascii="Arial" w:cs="Arial" w:eastAsia="Arial" w:hAnsi="Arial"/>
                <w:b w:val="false"/>
                <w:bCs w:val="false"/>
                <w:color w:val="333333"/>
                <w:sz w:val="16"/>
                <w:szCs w:val="16"/>
              </w:rPr>
              <w:t xml:space="preserve">Eye wash station in decontamination room</w:t>
            </w:r>
          </w:p>
          <w:p>
            <w:pPr>
              <w:spacing w:after="0"/>
              <w:jc w:val="left"/>
            </w:pPr>
            <w:r>
              <w:rPr>
                <w:rFonts w:ascii="Arial" w:cs="Arial" w:eastAsia="Arial" w:hAnsi="Arial"/>
                <w:b w:val="false"/>
                <w:bCs w:val="false"/>
                <w:color w:val="333333"/>
                <w:sz w:val="16"/>
                <w:szCs w:val="16"/>
              </w:rPr>
              <w:t xml:space="preserve">Staff trained in spill procedure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spill drill</w:t>
            </w:r>
          </w:p>
          <w:p>
            <w:pPr>
              <w:spacing w:after="40"/>
              <w:jc w:val="left"/>
            </w:pPr>
            <w:r>
              <w:rPr>
                <w:rFonts w:ascii="Arial" w:cs="Arial" w:eastAsia="Arial" w:hAnsi="Arial"/>
                <w:b w:val="false"/>
                <w:bCs w:val="false"/>
                <w:color w:val="333333"/>
                <w:sz w:val="16"/>
                <w:szCs w:val="16"/>
              </w:rPr>
              <w:t xml:space="preserve">Automated dosing systems to minimise handling</w:t>
            </w:r>
          </w:p>
          <w:p>
            <w:pPr>
              <w:spacing w:after="0"/>
              <w:jc w:val="left"/>
            </w:pPr>
            <w:r>
              <w:rPr>
                <w:rFonts w:ascii="Arial" w:cs="Arial" w:eastAsia="Arial" w:hAnsi="Arial"/>
                <w:b w:val="false"/>
                <w:bCs w:val="false"/>
                <w:color w:val="333333"/>
                <w:sz w:val="16"/>
                <w:szCs w:val="16"/>
              </w:rPr>
              <w:t xml:space="preserve">Review chemical concentrations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Latex allergy or sensitisation from gloves or medical devices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Non-latex (nitrile) gloves as default</w:t>
            </w:r>
          </w:p>
          <w:p>
            <w:pPr>
              <w:spacing w:after="40"/>
              <w:jc w:val="left"/>
            </w:pPr>
            <w:r>
              <w:rPr>
                <w:rFonts w:ascii="Arial" w:cs="Arial" w:eastAsia="Arial" w:hAnsi="Arial"/>
                <w:b w:val="false"/>
                <w:bCs w:val="false"/>
                <w:color w:val="333333"/>
                <w:sz w:val="16"/>
                <w:szCs w:val="16"/>
              </w:rPr>
              <w:t xml:space="preserve">Latex-free pathway documented for sensitised individuals</w:t>
            </w:r>
          </w:p>
          <w:p>
            <w:pPr>
              <w:spacing w:after="0"/>
              <w:jc w:val="left"/>
            </w:pPr>
            <w:r>
              <w:rPr>
                <w:rFonts w:ascii="Arial" w:cs="Arial" w:eastAsia="Arial" w:hAnsi="Arial"/>
                <w:b w:val="false"/>
                <w:bCs w:val="false"/>
                <w:color w:val="333333"/>
                <w:sz w:val="16"/>
                <w:szCs w:val="16"/>
              </w:rPr>
              <w:t xml:space="preserve">Patient allergy check at registration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Audit all consumables for latex content</w:t>
            </w:r>
          </w:p>
          <w:p>
            <w:pPr>
              <w:spacing w:after="40"/>
              <w:jc w:val="left"/>
            </w:pPr>
            <w:r>
              <w:rPr>
                <w:rFonts w:ascii="Arial" w:cs="Arial" w:eastAsia="Arial" w:hAnsi="Arial"/>
                <w:b w:val="false"/>
                <w:bCs w:val="false"/>
                <w:color w:val="333333"/>
                <w:sz w:val="16"/>
                <w:szCs w:val="16"/>
              </w:rPr>
              <w:t xml:space="preserve">Latex allergy awareness in induction training</w:t>
            </w:r>
          </w:p>
          <w:p>
            <w:pPr>
              <w:spacing w:after="0"/>
              <w:jc w:val="left"/>
            </w:pPr>
            <w:r>
              <w:rPr>
                <w:rFonts w:ascii="Arial" w:cs="Arial" w:eastAsia="Arial" w:hAnsi="Arial"/>
                <w:b w:val="false"/>
                <w:bCs w:val="false"/>
                <w:color w:val="333333"/>
                <w:sz w:val="16"/>
                <w:szCs w:val="16"/>
              </w:rPr>
              <w:t xml:space="preserve">Procurement policy to prefer latex-free products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Inadequate ventilation leading to chemical vapour accumulation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Mechanical extract ventilation in decontamination areas</w:t>
            </w:r>
          </w:p>
          <w:p>
            <w:pPr>
              <w:spacing w:after="40"/>
              <w:jc w:val="left"/>
            </w:pPr>
            <w:r>
              <w:rPr>
                <w:rFonts w:ascii="Arial" w:cs="Arial" w:eastAsia="Arial" w:hAnsi="Arial"/>
                <w:b w:val="false"/>
                <w:bCs w:val="false"/>
                <w:color w:val="333333"/>
                <w:sz w:val="16"/>
                <w:szCs w:val="16"/>
              </w:rPr>
              <w:t xml:space="preserve">Windows openable in consulting rooms</w:t>
            </w:r>
          </w:p>
          <w:p>
            <w:pPr>
              <w:spacing w:after="0"/>
              <w:jc w:val="left"/>
            </w:pPr>
            <w:r>
              <w:rPr>
                <w:rFonts w:ascii="Arial" w:cs="Arial" w:eastAsia="Arial" w:hAnsi="Arial"/>
                <w:b w:val="false"/>
                <w:bCs w:val="false"/>
                <w:color w:val="333333"/>
                <w:sz w:val="16"/>
                <w:szCs w:val="16"/>
              </w:rPr>
              <w:t xml:space="preserve">Air quality monitored informally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ventilation system inspection and service</w:t>
            </w:r>
          </w:p>
          <w:p>
            <w:pPr>
              <w:spacing w:after="40"/>
              <w:jc w:val="left"/>
            </w:pPr>
            <w:r>
              <w:rPr>
                <w:rFonts w:ascii="Arial" w:cs="Arial" w:eastAsia="Arial" w:hAnsi="Arial"/>
                <w:b w:val="false"/>
                <w:bCs w:val="false"/>
                <w:color w:val="333333"/>
                <w:sz w:val="16"/>
                <w:szCs w:val="16"/>
              </w:rPr>
              <w:t xml:space="preserve">Air quality monitoring in decontamination areas</w:t>
            </w:r>
          </w:p>
          <w:p>
            <w:pPr>
              <w:spacing w:after="0"/>
              <w:jc w:val="left"/>
            </w:pPr>
            <w:r>
              <w:rPr>
                <w:rFonts w:ascii="Arial" w:cs="Arial" w:eastAsia="Arial" w:hAnsi="Arial"/>
                <w:b w:val="false"/>
                <w:bCs w:val="false"/>
                <w:color w:val="333333"/>
                <w:sz w:val="16"/>
                <w:szCs w:val="16"/>
              </w:rPr>
              <w:t xml:space="preserve">Workplace exposure limit (WEL) checks for key substances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6.6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Mixing incompatible chemicals leading to toxic gas release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Cleaning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Staff trained not to mix products</w:t>
            </w:r>
          </w:p>
          <w:p>
            <w:pPr>
              <w:spacing w:after="40"/>
              <w:jc w:val="left"/>
            </w:pPr>
            <w:r>
              <w:rPr>
                <w:rFonts w:ascii="Arial" w:cs="Arial" w:eastAsia="Arial" w:hAnsi="Arial"/>
                <w:b w:val="false"/>
                <w:bCs w:val="false"/>
                <w:color w:val="333333"/>
                <w:sz w:val="16"/>
                <w:szCs w:val="16"/>
              </w:rPr>
              <w:t xml:space="preserve">Chemicals stored by compatibility</w:t>
            </w:r>
          </w:p>
          <w:p>
            <w:pPr>
              <w:spacing w:after="0"/>
              <w:jc w:val="left"/>
            </w:pPr>
            <w:r>
              <w:rPr>
                <w:rFonts w:ascii="Arial" w:cs="Arial" w:eastAsia="Arial" w:hAnsi="Arial"/>
                <w:b w:val="false"/>
                <w:bCs w:val="false"/>
                <w:color w:val="333333"/>
                <w:sz w:val="16"/>
                <w:szCs w:val="16"/>
              </w:rPr>
              <w:t xml:space="preserve">COSHH posters displayed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Approved product list: no two incompatible products in same area</w:t>
            </w:r>
          </w:p>
          <w:p>
            <w:pPr>
              <w:spacing w:after="40"/>
              <w:jc w:val="left"/>
            </w:pPr>
            <w:r>
              <w:rPr>
                <w:rFonts w:ascii="Arial" w:cs="Arial" w:eastAsia="Arial" w:hAnsi="Arial"/>
                <w:b w:val="false"/>
                <w:bCs w:val="false"/>
                <w:color w:val="333333"/>
                <w:sz w:val="16"/>
                <w:szCs w:val="16"/>
              </w:rPr>
              <w:t xml:space="preserve">Refresher training six-monthly for cleaning team</w:t>
            </w:r>
          </w:p>
          <w:p>
            <w:pPr>
              <w:spacing w:after="0"/>
              <w:jc w:val="left"/>
            </w:pPr>
            <w:r>
              <w:rPr>
                <w:rFonts w:ascii="Arial" w:cs="Arial" w:eastAsia="Arial" w:hAnsi="Arial"/>
                <w:b w:val="false"/>
                <w:bCs w:val="false"/>
                <w:color w:val="333333"/>
                <w:sz w:val="16"/>
                <w:szCs w:val="16"/>
              </w:rPr>
              <w:t xml:space="preserve">Incident procedure for chemical reaction exposure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Control of Substances Hazardous to Health Regulations 2002 (COSHH)</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Assessment and control of exposure to hazardous substances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General duty to provide safe systems of work</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CLP Regulation (EC 1272/2008, retained EU law)</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Classification, labelling, and packaging of chemicals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Personal Protective Equipment at Work Regulations 1992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Provision and use of PPE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Workplace (Health, Safety and Welfare) Regulations 1992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Ventilation, temperature, and workplace conditions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RIDDOR 2013</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Reporting of occupational diseases (e.g. chemical burns, occupational asthma)</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 &amp; 15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premises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BS-PHC-RA-COSHH-006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COSHH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2026-05-15T09:24:55.286Z</dcterms:created>
  <dcterms:modified xsi:type="dcterms:W3CDTF">2026-05-15T09:24:55.286Z</dcterms:modified>
</cp:coreProperties>
</file>

<file path=docProps/custom.xml><?xml version="1.0" encoding="utf-8"?>
<Properties xmlns="http://schemas.openxmlformats.org/officeDocument/2006/custom-properties" xmlns:vt="http://schemas.openxmlformats.org/officeDocument/2006/docPropsVTypes"/>
</file>