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jc w:val="center"/>
      </w:pPr>
      <w:r>
        <w:rPr>
          <w:rFonts w:ascii="Arial" w:cs="Arial" w:eastAsia="Arial" w:hAnsi="Arial"/>
          <w:b/>
          <w:bCs/>
          <w:color w:val="0B1D3A"/>
          <w:sz w:val="56"/>
          <w:szCs w:val="56"/>
        </w:rPr>
        <w:t xml:space="preserve">BARKER SCOTT</w:t>
      </w:r>
    </w:p>
    <w:p>
      <w:pPr>
        <w:spacing w:after="200"/>
        <w:jc w:val="center"/>
      </w:pPr>
      <w:r>
        <w:rPr>
          <w:rFonts w:ascii="Arial" w:cs="Arial" w:eastAsia="Arial" w:hAnsi="Arial"/>
          <w:color w:val="D4AF37"/>
          <w:sz w:val="24"/>
          <w:szCs w:val="24"/>
        </w:rPr>
        <w:t xml:space="preserve">CQC Compliance Templates</w:t>
      </w:r>
    </w:p>
    <w:p>
      <w:pPr>
        <w:pBdr>
          <w:bottom w:val="single" w:color="0B1D3A" w:sz="6" w:space="1"/>
        </w:pBdr>
        <w:spacing w:after="100" w:before="100"/>
      </w:pPr>
    </w:p>
    <w:p>
      <w:pPr>
        <w:spacing w:after="0" w:before="400"/>
      </w:pPr>
    </w:p>
    <w:p>
      <w:pPr>
        <w:spacing w:after="60"/>
        <w:jc w:val="center"/>
      </w:pPr>
      <w:r>
        <w:rPr>
          <w:rFonts w:ascii="Arial" w:cs="Arial" w:eastAsia="Arial" w:hAnsi="Arial"/>
          <w:b/>
          <w:bCs/>
          <w:color w:val="D4AF37"/>
          <w:sz w:val="28"/>
          <w:szCs w:val="28"/>
        </w:rPr>
        <w:t xml:space="preserve">RISK ASSESSMENT</w:t>
      </w:r>
    </w:p>
    <w:p>
      <w:pPr>
        <w:spacing w:after="100"/>
        <w:jc w:val="center"/>
      </w:pPr>
      <w:r>
        <w:rPr>
          <w:rFonts w:ascii="Arial" w:cs="Arial" w:eastAsia="Arial" w:hAnsi="Arial"/>
          <w:b/>
          <w:bCs/>
          <w:color w:val="0B1D3A"/>
          <w:sz w:val="38"/>
          <w:szCs w:val="38"/>
        </w:rPr>
        <w:t xml:space="preserve">Clinical Infection Control
Risk Assessment</w:t>
      </w:r>
    </w:p>
    <w:p>
      <w:pPr>
        <w:spacing w:after="100"/>
        <w:jc w:val="center"/>
      </w:pPr>
      <w:r>
        <w:rPr>
          <w:rFonts w:ascii="Arial" w:cs="Arial" w:eastAsia="Arial" w:hAnsi="Arial"/>
          <w:color w:val="999999"/>
          <w:sz w:val="24"/>
          <w:szCs w:val="24"/>
        </w:rPr>
        <w:t xml:space="preserve">For CQC-Registered Private Health Clinics</w:t>
      </w:r>
    </w:p>
    <w:p>
      <w:pPr>
        <w:pBdr>
          <w:bottom w:val="single" w:color="0B1D3A" w:sz="6" w:space="1"/>
        </w:pBdr>
        <w:spacing w:after="100" w:before="100"/>
      </w:pPr>
    </w:p>
    <w:p>
      <w:pPr>
        <w:spacing w:after="0" w:before="200"/>
      </w:pPr>
    </w:p>
    <w:p>
      <w:pPr>
        <w:jc w:val="center"/>
      </w:pPr>
      <w:r>
        <w:rPr>
          <w:rFonts w:ascii="Arial" w:cs="Arial" w:eastAsia="Arial" w:hAnsi="Arial"/>
          <w:b/>
          <w:bCs/>
          <w:color w:val="D4AF37"/>
          <w:sz w:val="24"/>
          <w:szCs w:val="24"/>
        </w:rPr>
        <w:t xml:space="preserve">Private Health Clinic Sector</w:t>
      </w:r>
    </w:p>
    <w:p>
      <w:pPr>
        <w:spacing w:after="0" w:before="100"/>
      </w:pPr>
    </w:p>
    <w:p>
      <w:pPr>
        <w:jc w:val="center"/>
      </w:pPr>
      <w:r>
        <w:rPr>
          <w:rFonts w:ascii="Arial" w:cs="Arial" w:eastAsia="Arial" w:hAnsi="Arial"/>
          <w:color w:val="999999"/>
          <w:sz w:val="20"/>
          <w:szCs w:val="20"/>
        </w:rPr>
        <w:t xml:space="preserve">Document Reference: BS-PHC-RA-IPC-001</w:t>
      </w:r>
    </w:p>
    <w:p>
      <w:pPr>
        <w:jc w:val="center"/>
      </w:pPr>
      <w:r>
        <w:rPr>
          <w:rFonts w:ascii="Arial" w:cs="Arial" w:eastAsia="Arial" w:hAnsi="Arial"/>
          <w:color w:val="999999"/>
          <w:sz w:val="20"/>
          <w:szCs w:val="20"/>
        </w:rPr>
        <w:t xml:space="preserve">Version 1.0</w:t>
      </w:r>
    </w:p>
    <w:p>
      <w:pPr>
        <w:spacing w:after="0" w:before="600"/>
      </w:pPr>
    </w:p>
    <w:p>
      <w:pPr>
        <w:spacing w:after="40"/>
        <w:jc w:val="center"/>
      </w:pPr>
      <w:r>
        <w:rPr>
          <w:rFonts w:ascii="Arial" w:cs="Arial" w:eastAsia="Arial" w:hAnsi="Arial"/>
          <w:b/>
          <w:bCs/>
          <w:color w:val="0B1D3A"/>
          <w:sz w:val="28"/>
          <w:szCs w:val="28"/>
        </w:rPr>
        <w:t xml:space="preserve">[Insert Organisation Name]</w:t>
      </w:r>
    </w:p>
    <w:p>
      <w:pPr>
        <w:spacing w:after="0" w:before="400"/>
      </w:pPr>
    </w:p>
    <w:p>
      <w:pPr>
        <w:pBdr>
          <w:top w:val="single" w:color="D4AF37" w:sz="2" w:space="8"/>
        </w:pBdr>
        <w:spacing w:before="200"/>
        <w:jc w:val="center"/>
      </w:pPr>
      <w:r>
        <w:rPr>
          <w:rFonts w:ascii="Arial" w:cs="Arial" w:eastAsia="Arial" w:hAnsi="Arial"/>
          <w:i/>
          <w:iCs/>
          <w:color w:val="999999"/>
          <w:sz w:val="18"/>
          <w:szCs w:val="18"/>
        </w:rPr>
        <w:t xml:space="preserve">CONFIDENTIAL – FOR INTERNAL USE ONLY</w:t>
      </w:r>
    </w:p>
    <w:p>
      <w:r>
        <w:br w:type="page"/>
      </w:r>
    </w:p>
    <w:p>
      <w:pPr>
        <w:pStyle w:val="Heading1"/>
      </w:pPr>
      <w:r>
        <w:rPr>
          <w:rFonts w:ascii="Arial" w:cs="Arial" w:eastAsia="Arial" w:hAnsi="Arial"/>
          <w:b/>
          <w:bCs/>
          <w:color w:val="0B1D3A"/>
          <w:sz w:val="28"/>
          <w:szCs w:val="28"/>
        </w:rPr>
        <w:t xml:space="preserve">Document Control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Document Title: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Clinical Infection Control
Risk Assessment</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Document Reference: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BS-PHC-RA-IPC-001</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Version:</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Date of Issue: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Review Date: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 + 12 Months]</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Assessor:</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 / Role]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Approved By:</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 / Governance Lead]</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Organisation:</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Organisation Name]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Location / Site: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Clinic Address]</w:t>
            </w:r>
          </w:p>
        </w:tc>
      </w:tr>
    </w:tbl>
    <w:p>
      <w:pPr>
        <w:spacing w:after="0" w:before="200"/>
      </w:pPr>
    </w:p>
    <w:p>
      <w:pPr>
        <w:pStyle w:val="Heading1"/>
      </w:pPr>
      <w:r>
        <w:rPr>
          <w:rFonts w:ascii="Arial" w:cs="Arial" w:eastAsia="Arial" w:hAnsi="Arial"/>
          <w:b/>
          <w:bCs/>
          <w:color w:val="0B1D3A"/>
          <w:sz w:val="28"/>
          <w:szCs w:val="28"/>
        </w:rPr>
        <w:t xml:space="preserve">1. Purpose</w:t>
      </w:r>
    </w:p>
    <w:p>
      <w:pPr>
        <w:spacing w:after="120"/>
        <w:jc w:val="both"/>
      </w:pPr>
      <w:r>
        <w:rPr>
          <w:rFonts w:ascii="Arial" w:cs="Arial" w:eastAsia="Arial" w:hAnsi="Arial"/>
          <w:color w:val="333333"/>
          <w:sz w:val="22"/>
          <w:szCs w:val="22"/>
        </w:rPr>
        <w:t xml:space="preserve">This risk assessment identifies and evaluates infection prevention and control (IPC) hazards within [Insert Organisation Name] and establishes control measures to minimise the risk of healthcare-associated infections (HCAIs) to patients, staff, and visitors. It supports compliance with the Health and Social Care Act 2008 Code of Practice on the Prevention and Control of Infections (the Hygiene Code) and Regulation 12 of the Health and Social Care Act 2008 (Regulated Activities) Regulations 2014.</w:t>
      </w:r>
    </w:p>
    <w:p>
      <w:pPr>
        <w:pStyle w:val="Heading1"/>
      </w:pPr>
      <w:r>
        <w:rPr>
          <w:rFonts w:ascii="Arial" w:cs="Arial" w:eastAsia="Arial" w:hAnsi="Arial"/>
          <w:b/>
          <w:bCs/>
          <w:color w:val="0B1D3A"/>
          <w:sz w:val="28"/>
          <w:szCs w:val="28"/>
        </w:rPr>
        <w:t xml:space="preserve">2. Scope</w:t>
      </w:r>
    </w:p>
    <w:p>
      <w:pPr>
        <w:spacing w:after="120"/>
        <w:jc w:val="both"/>
      </w:pPr>
      <w:r>
        <w:rPr>
          <w:rFonts w:ascii="Arial" w:cs="Arial" w:eastAsia="Arial" w:hAnsi="Arial"/>
          <w:color w:val="333333"/>
          <w:sz w:val="22"/>
          <w:szCs w:val="22"/>
        </w:rPr>
        <w:t xml:space="preserve">This assessment covers all clinical and non-clinical areas within [Insert Organisation Name], including consulting rooms, treatment rooms, decontamination areas, waiting areas, staff areas, and waste storage. It applies to all staff, visiting professionals, patients, and contractors.</w:t>
      </w:r>
    </w:p>
    <w:p>
      <w:pPr>
        <w:pStyle w:val="Heading1"/>
      </w:pPr>
      <w:r>
        <w:rPr>
          <w:rFonts w:ascii="Arial" w:cs="Arial" w:eastAsia="Arial" w:hAnsi="Arial"/>
          <w:b/>
          <w:bCs/>
          <w:color w:val="0B1D3A"/>
          <w:sz w:val="28"/>
          <w:szCs w:val="28"/>
        </w:rPr>
        <w:t xml:space="preserve">3. Assessment Methodology</w:t>
      </w:r>
    </w:p>
    <w:p>
      <w:pPr>
        <w:spacing w:after="120"/>
        <w:jc w:val="both"/>
      </w:pPr>
      <w:r>
        <w:rPr>
          <w:rFonts w:ascii="Arial" w:cs="Arial" w:eastAsia="Arial" w:hAnsi="Arial"/>
          <w:color w:val="333333"/>
          <w:sz w:val="22"/>
          <w:szCs w:val="22"/>
        </w:rPr>
        <w:t xml:space="preserve">Hazards have been identified through environmental audit, clinical observation, incident data review, and staff consultation. Risk is scored using a 5×5 matrix (Likelihood × Severity). Initial risk reflects the risk before additional controls; residual risk is the expected level after full implementation of all recommended actions.</w:t>
      </w:r>
    </w:p>
    <w:p>
      <w:r>
        <w:br w:type="page"/>
      </w:r>
    </w:p>
    <w:p>
      <w:pPr>
        <w:pStyle w:val="Heading1"/>
      </w:pPr>
      <w:r>
        <w:rPr>
          <w:rFonts w:ascii="Arial" w:cs="Arial" w:eastAsia="Arial" w:hAnsi="Arial"/>
          <w:b/>
          <w:bCs/>
          <w:color w:val="0B1D3A"/>
          <w:sz w:val="28"/>
          <w:szCs w:val="28"/>
        </w:rPr>
        <w:t xml:space="preserve">Risk Assessment Matrix</w:t>
      </w:r>
    </w:p>
    <w:p>
      <w:pPr>
        <w:spacing w:after="120"/>
        <w:jc w:val="both"/>
      </w:pPr>
      <w:r>
        <w:rPr>
          <w:rFonts w:ascii="Arial" w:cs="Arial" w:eastAsia="Arial" w:hAnsi="Arial"/>
          <w:color w:val="333333"/>
          <w:sz w:val="22"/>
          <w:szCs w:val="22"/>
        </w:rPr>
        <w:t xml:space="preserve">Risk is calculated as Likelihood × Severity using the 5×5 risk matrix below. Initial risk is assessed before additional controls; residual risk is the rating after implementation of all additional control measures.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45"/>
        <w:gridCol w:w="1445"/>
        <w:gridCol w:w="1445"/>
        <w:gridCol w:w="1445"/>
        <w:gridCol w:w="1445"/>
      </w:tblGrid>
      <w:tr>
        <w:tc>
          <w:tcPr>
            <w:tcW w:type="dxa" w:w="18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Likelihood ↓ / Severity →</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1
Negligible</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2
Minor</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3
Moderate</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4
Major</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5
Catastrophic</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5 – Almost Certain</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5</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10</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20</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25</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4 – Likely</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12</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16</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20</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3 – Possible</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3</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6</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9</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12</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2 – Unlikely</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2</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6</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10</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 – Rare</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1</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2</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3</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5</w:t>
            </w:r>
          </w:p>
        </w:tc>
      </w:tr>
    </w:tbl>
    <w:p>
      <w:pPr>
        <w:spacing w:after="0" w:before="160"/>
      </w:pPr>
    </w:p>
    <w:p>
      <w:pPr>
        <w:pStyle w:val="Heading2"/>
      </w:pPr>
      <w:r>
        <w:rPr>
          <w:rFonts w:ascii="Arial" w:cs="Arial" w:eastAsia="Arial" w:hAnsi="Arial"/>
          <w:b/>
          <w:bCs/>
          <w:color w:val="0B1D3A"/>
          <w:sz w:val="24"/>
          <w:szCs w:val="24"/>
        </w:rPr>
        <w:t xml:space="preserve">Risk Rating Action Key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Score</w:t>
            </w:r>
          </w:p>
        </w:tc>
        <w:tc>
          <w:tcPr>
            <w:tcW w:type="dxa" w:w="25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Rating</w:t>
            </w:r>
          </w:p>
        </w:tc>
        <w:tc>
          <w:tcPr>
            <w:tcW w:type="dxa" w:w="50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Required Action</w:t>
            </w:r>
          </w:p>
        </w:tc>
      </w:tr>
      <w:tr>
        <w:tc>
          <w:tcPr>
            <w:tcW w:type="dxa" w:w="15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15–25</w:t>
            </w:r>
          </w:p>
        </w:tc>
        <w:tc>
          <w:tcPr>
            <w:tcW w:type="dxa" w:w="25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left"/>
            </w:pPr>
            <w:r>
              <w:rPr>
                <w:rFonts w:ascii="Arial" w:cs="Arial" w:eastAsia="Arial" w:hAnsi="Arial"/>
                <w:b/>
                <w:bCs/>
                <w:color w:val="C0392B"/>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Immediate action required. Escalate to Registered Manager and Clinical Lead. Consider suspending activity until controls are implemented.</w:t>
            </w:r>
          </w:p>
        </w:tc>
      </w:tr>
      <w:tr>
        <w:tc>
          <w:tcPr>
            <w:tcW w:type="dxa" w:w="15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8–12</w:t>
            </w:r>
          </w:p>
        </w:tc>
        <w:tc>
          <w:tcPr>
            <w:tcW w:type="dxa" w:w="25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left"/>
            </w:pPr>
            <w:r>
              <w:rPr>
                <w:rFonts w:ascii="Arial" w:cs="Arial" w:eastAsia="Arial" w:hAnsi="Arial"/>
                <w:b/>
                <w:bCs/>
                <w:color w:val="D35400"/>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Action required within defined timescale. Implement additional controls and monitor. Report to governance meeting.</w:t>
            </w:r>
          </w:p>
        </w:tc>
      </w:tr>
      <w:tr>
        <w:tc>
          <w:tcPr>
            <w:tcW w:type="dxa" w:w="15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4–6</w:t>
            </w:r>
          </w:p>
        </w:tc>
        <w:tc>
          <w:tcPr>
            <w:tcW w:type="dxa" w:w="25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left"/>
            </w:pPr>
            <w:r>
              <w:rPr>
                <w:rFonts w:ascii="Arial" w:cs="Arial" w:eastAsia="Arial" w:hAnsi="Arial"/>
                <w:b/>
                <w:bCs/>
                <w:color w:val="7D6608"/>
                <w:sz w:val="20"/>
                <w:szCs w:val="20"/>
              </w:rPr>
              <w:t xml:space="preserve">LOW</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Manage by routine procedures and existing controls. Monitor for change. Review at scheduled intervals.</w:t>
            </w:r>
          </w:p>
        </w:tc>
      </w:tr>
      <w:tr>
        <w:tc>
          <w:tcPr>
            <w:tcW w:type="dxa" w:w="150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1–3</w:t>
            </w:r>
          </w:p>
        </w:tc>
        <w:tc>
          <w:tcPr>
            <w:tcW w:type="dxa" w:w="250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left"/>
            </w:pPr>
            <w:r>
              <w:rPr>
                <w:rFonts w:ascii="Arial" w:cs="Arial" w:eastAsia="Arial" w:hAnsi="Arial"/>
                <w:b/>
                <w:bCs/>
                <w:color w:val="1E8449"/>
                <w:sz w:val="20"/>
                <w:szCs w:val="20"/>
              </w:rPr>
              <w:t xml:space="preserve">VERY LOW</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No additional action required. Maintain current controls. Include in routine review cycle.</w:t>
            </w:r>
          </w:p>
        </w:tc>
      </w:tr>
    </w:tbl>
    <w:p>
      <w:pPr>
        <w:spacing w:after="0" w:before="200"/>
      </w:pPr>
    </w:p>
    <w:p>
      <w:r>
        <w:br w:type="page"/>
      </w:r>
    </w:p>
    <w:p>
      <w:pPr>
        <w:pStyle w:val="Heading1"/>
      </w:pPr>
      <w:r>
        <w:rPr>
          <w:rFonts w:ascii="Arial" w:cs="Arial" w:eastAsia="Arial" w:hAnsi="Arial"/>
          <w:b/>
          <w:bCs/>
          <w:color w:val="0B1D3A"/>
          <w:sz w:val="28"/>
          <w:szCs w:val="28"/>
        </w:rPr>
        <w:t xml:space="preserve">Hazard Identification and Risk Register</w:t>
      </w:r>
    </w:p>
    <w:p>
      <w:pPr>
        <w:spacing w:after="120"/>
        <w:jc w:val="both"/>
      </w:pPr>
      <w:r>
        <w:rPr>
          <w:rFonts w:ascii="Arial" w:cs="Arial" w:eastAsia="Arial" w:hAnsi="Arial"/>
          <w:color w:val="333333"/>
          <w:sz w:val="22"/>
          <w:szCs w:val="22"/>
        </w:rPr>
        <w:t xml:space="preserve">L = Likelihood (1–5) | S = Severity (1–5) | Risk = L × S. Existing controls are currently in place; additional controls are recommended actions to reduce residual risk.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700"/>
        <w:gridCol w:w="1700"/>
        <w:gridCol w:w="400"/>
        <w:gridCol w:w="400"/>
        <w:gridCol w:w="450"/>
        <w:gridCol w:w="1700"/>
        <w:gridCol w:w="400"/>
        <w:gridCol w:w="400"/>
        <w:gridCol w:w="450"/>
        <w:gridCol w:w="926"/>
      </w:tblGrid>
      <w:tr>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Ref</w:t>
            </w:r>
          </w:p>
        </w:tc>
        <w:tc>
          <w:tcPr>
            <w:tcW w:type="dxa" w:w="11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Hazard / Risk</w:t>
            </w:r>
          </w:p>
        </w:tc>
        <w:tc>
          <w:tcPr>
            <w:tcW w:type="dxa" w:w="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Who is at Risk</w:t>
            </w:r>
          </w:p>
        </w:tc>
        <w:tc>
          <w:tcPr>
            <w:tcW w:type="dxa" w:w="1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Existing Control Measures</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w:t>
            </w:r>
          </w:p>
        </w:tc>
        <w:tc>
          <w:tcPr>
            <w:tcW w:type="dxa" w:w="45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Risk</w:t>
            </w:r>
          </w:p>
        </w:tc>
        <w:tc>
          <w:tcPr>
            <w:tcW w:type="dxa" w:w="1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Additional Control Measures Required</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w:t>
            </w:r>
          </w:p>
        </w:tc>
        <w:tc>
          <w:tcPr>
            <w:tcW w:type="dxa" w:w="45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Risk</w:t>
            </w:r>
          </w:p>
        </w:tc>
        <w:tc>
          <w:tcPr>
            <w:tcW w:type="dxa" w:w="9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Owner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Poor hand hygiene compliance leading to cross-contamination</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 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Alcohol-based hand rub (ABHR) dispensers at point of care</w:t>
            </w:r>
          </w:p>
          <w:p>
            <w:pPr>
              <w:spacing w:after="40"/>
              <w:jc w:val="left"/>
            </w:pPr>
            <w:r>
              <w:rPr>
                <w:rFonts w:ascii="Arial" w:cs="Arial" w:eastAsia="Arial" w:hAnsi="Arial"/>
                <w:b w:val="false"/>
                <w:bCs w:val="false"/>
                <w:color w:val="333333"/>
                <w:sz w:val="16"/>
                <w:szCs w:val="16"/>
              </w:rPr>
              <w:t xml:space="preserve">WHO Five Moments posters displayed</w:t>
            </w:r>
          </w:p>
          <w:p>
            <w:pPr>
              <w:spacing w:after="0"/>
              <w:jc w:val="left"/>
            </w:pPr>
            <w:r>
              <w:rPr>
                <w:rFonts w:ascii="Arial" w:cs="Arial" w:eastAsia="Arial" w:hAnsi="Arial"/>
                <w:b w:val="false"/>
                <w:bCs w:val="false"/>
                <w:color w:val="333333"/>
                <w:sz w:val="16"/>
                <w:szCs w:val="16"/>
              </w:rPr>
              <w:t xml:space="preserve">Hand hygiene training at induction</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16"/>
                <w:szCs w:val="16"/>
              </w:rPr>
              <w:t xml:space="preserve">16</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Quarterly hand hygiene audits with feedback</w:t>
            </w:r>
          </w:p>
          <w:p>
            <w:pPr>
              <w:spacing w:after="40"/>
              <w:jc w:val="left"/>
            </w:pPr>
            <w:r>
              <w:rPr>
                <w:rFonts w:ascii="Arial" w:cs="Arial" w:eastAsia="Arial" w:hAnsi="Arial"/>
                <w:b w:val="false"/>
                <w:bCs w:val="false"/>
                <w:color w:val="333333"/>
                <w:sz w:val="16"/>
                <w:szCs w:val="16"/>
              </w:rPr>
              <w:t xml:space="preserve">Monthly compliance reports to governance meeting</w:t>
            </w:r>
          </w:p>
          <w:p>
            <w:pPr>
              <w:spacing w:after="0"/>
              <w:jc w:val="left"/>
            </w:pPr>
            <w:r>
              <w:rPr>
                <w:rFonts w:ascii="Arial" w:cs="Arial" w:eastAsia="Arial" w:hAnsi="Arial"/>
                <w:b w:val="false"/>
                <w:bCs w:val="false"/>
                <w:color w:val="333333"/>
                <w:sz w:val="16"/>
                <w:szCs w:val="16"/>
              </w:rPr>
              <w:t xml:space="preserve">Non-compliance performance management pathway</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IPC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1.2</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Contaminated clinical surfaces and equipment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 Staff, Visitors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Daily cleaning schedule in place</w:t>
            </w:r>
          </w:p>
          <w:p>
            <w:pPr>
              <w:spacing w:after="40"/>
              <w:jc w:val="left"/>
            </w:pPr>
            <w:r>
              <w:rPr>
                <w:rFonts w:ascii="Arial" w:cs="Arial" w:eastAsia="Arial" w:hAnsi="Arial"/>
                <w:b w:val="false"/>
                <w:bCs w:val="false"/>
                <w:color w:val="333333"/>
                <w:sz w:val="16"/>
                <w:szCs w:val="16"/>
              </w:rPr>
              <w:t xml:space="preserve">Approved disinfectant products used</w:t>
            </w:r>
          </w:p>
          <w:p>
            <w:pPr>
              <w:spacing w:after="0"/>
              <w:jc w:val="left"/>
            </w:pPr>
            <w:r>
              <w:rPr>
                <w:rFonts w:ascii="Arial" w:cs="Arial" w:eastAsia="Arial" w:hAnsi="Arial"/>
                <w:b w:val="false"/>
                <w:bCs w:val="false"/>
                <w:color w:val="333333"/>
                <w:sz w:val="16"/>
                <w:szCs w:val="16"/>
              </w:rPr>
              <w:t xml:space="preserve">High-touch surfaces cleaned between patients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12</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ATP bioluminescence testing monthly</w:t>
            </w:r>
          </w:p>
          <w:p>
            <w:pPr>
              <w:spacing w:after="40"/>
              <w:jc w:val="left"/>
            </w:pPr>
            <w:r>
              <w:rPr>
                <w:rFonts w:ascii="Arial" w:cs="Arial" w:eastAsia="Arial" w:hAnsi="Arial"/>
                <w:b w:val="false"/>
                <w:bCs w:val="false"/>
                <w:color w:val="333333"/>
                <w:sz w:val="16"/>
                <w:szCs w:val="16"/>
              </w:rPr>
              <w:t xml:space="preserve">Terminal cleaning checklist with sign-off</w:t>
            </w:r>
          </w:p>
          <w:p>
            <w:pPr>
              <w:spacing w:after="0"/>
              <w:jc w:val="left"/>
            </w:pPr>
            <w:r>
              <w:rPr>
                <w:rFonts w:ascii="Arial" w:cs="Arial" w:eastAsia="Arial" w:hAnsi="Arial"/>
                <w:b w:val="false"/>
                <w:bCs w:val="false"/>
                <w:color w:val="333333"/>
                <w:sz w:val="16"/>
                <w:szCs w:val="16"/>
              </w:rPr>
              <w:t xml:space="preserve">Annual cleaning contract review</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Facilities Mgr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1.3</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Sharps injury and bloodborne pathogen exposure</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Clinical 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BS 7320 sharps containers at point of use</w:t>
            </w:r>
          </w:p>
          <w:p>
            <w:pPr>
              <w:spacing w:after="40"/>
              <w:jc w:val="left"/>
            </w:pPr>
            <w:r>
              <w:rPr>
                <w:rFonts w:ascii="Arial" w:cs="Arial" w:eastAsia="Arial" w:hAnsi="Arial"/>
                <w:b w:val="false"/>
                <w:bCs w:val="false"/>
                <w:color w:val="333333"/>
                <w:sz w:val="16"/>
                <w:szCs w:val="16"/>
              </w:rPr>
              <w:t xml:space="preserve">Safety-engineered sharps devices</w:t>
            </w:r>
          </w:p>
          <w:p>
            <w:pPr>
              <w:spacing w:after="0"/>
              <w:jc w:val="left"/>
            </w:pPr>
            <w:r>
              <w:rPr>
                <w:rFonts w:ascii="Arial" w:cs="Arial" w:eastAsia="Arial" w:hAnsi="Arial"/>
                <w:b w:val="false"/>
                <w:bCs w:val="false"/>
                <w:color w:val="333333"/>
                <w:sz w:val="16"/>
                <w:szCs w:val="16"/>
              </w:rPr>
              <w:t xml:space="preserve">Sharps training at induction</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16"/>
                <w:szCs w:val="16"/>
              </w:rPr>
              <w:t xml:space="preserve">15</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Quarterly sharps audit</w:t>
            </w:r>
          </w:p>
          <w:p>
            <w:pPr>
              <w:spacing w:after="40"/>
              <w:jc w:val="left"/>
            </w:pPr>
            <w:r>
              <w:rPr>
                <w:rFonts w:ascii="Arial" w:cs="Arial" w:eastAsia="Arial" w:hAnsi="Arial"/>
                <w:b w:val="false"/>
                <w:bCs w:val="false"/>
                <w:color w:val="333333"/>
                <w:sz w:val="16"/>
                <w:szCs w:val="16"/>
              </w:rPr>
              <w:t xml:space="preserve">Post-exposure prophylaxis protocol reviewed annually</w:t>
            </w:r>
          </w:p>
          <w:p>
            <w:pPr>
              <w:spacing w:after="0"/>
              <w:jc w:val="left"/>
            </w:pPr>
            <w:r>
              <w:rPr>
                <w:rFonts w:ascii="Arial" w:cs="Arial" w:eastAsia="Arial" w:hAnsi="Arial"/>
                <w:b w:val="false"/>
                <w:bCs w:val="false"/>
                <w:color w:val="333333"/>
                <w:sz w:val="16"/>
                <w:szCs w:val="16"/>
              </w:rPr>
              <w:t xml:space="preserve">Incident investigation within 24 hours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5</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IPC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1.4</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Inadequate decontamination of reusable medical devices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HTM 01-01 / 01-05 compliant processes</w:t>
            </w:r>
          </w:p>
          <w:p>
            <w:pPr>
              <w:spacing w:after="40"/>
              <w:jc w:val="left"/>
            </w:pPr>
            <w:r>
              <w:rPr>
                <w:rFonts w:ascii="Arial" w:cs="Arial" w:eastAsia="Arial" w:hAnsi="Arial"/>
                <w:b w:val="false"/>
                <w:bCs w:val="false"/>
                <w:color w:val="333333"/>
                <w:sz w:val="16"/>
                <w:szCs w:val="16"/>
              </w:rPr>
              <w:t xml:space="preserve">Single-use items where available</w:t>
            </w:r>
          </w:p>
          <w:p>
            <w:pPr>
              <w:spacing w:after="0"/>
              <w:jc w:val="left"/>
            </w:pPr>
            <w:r>
              <w:rPr>
                <w:rFonts w:ascii="Arial" w:cs="Arial" w:eastAsia="Arial" w:hAnsi="Arial"/>
                <w:b w:val="false"/>
                <w:bCs w:val="false"/>
                <w:color w:val="333333"/>
                <w:sz w:val="16"/>
                <w:szCs w:val="16"/>
              </w:rPr>
              <w:t xml:space="preserve">Autoclave validation records maintained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10</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Annual decontamination audit against HTM standards</w:t>
            </w:r>
          </w:p>
          <w:p>
            <w:pPr>
              <w:spacing w:after="40"/>
              <w:jc w:val="left"/>
            </w:pPr>
            <w:r>
              <w:rPr>
                <w:rFonts w:ascii="Arial" w:cs="Arial" w:eastAsia="Arial" w:hAnsi="Arial"/>
                <w:b w:val="false"/>
                <w:bCs w:val="false"/>
                <w:color w:val="333333"/>
                <w:sz w:val="16"/>
                <w:szCs w:val="16"/>
              </w:rPr>
              <w:t xml:space="preserve">Staff competency assessment for decontamination</w:t>
            </w:r>
          </w:p>
          <w:p>
            <w:pPr>
              <w:spacing w:after="0"/>
              <w:jc w:val="left"/>
            </w:pPr>
            <w:r>
              <w:rPr>
                <w:rFonts w:ascii="Arial" w:cs="Arial" w:eastAsia="Arial" w:hAnsi="Arial"/>
                <w:b w:val="false"/>
                <w:bCs w:val="false"/>
                <w:color w:val="333333"/>
                <w:sz w:val="16"/>
                <w:szCs w:val="16"/>
              </w:rPr>
              <w:t xml:space="preserve">Equipment maintenance schedule verified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5</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Clinical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1.5</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Clinical waste mismanagement leading to infection or environmental contamination</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Staff, Public</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Colour-coded waste segregation (HTM 07-01)</w:t>
            </w:r>
          </w:p>
          <w:p>
            <w:pPr>
              <w:spacing w:after="40"/>
              <w:jc w:val="left"/>
            </w:pPr>
            <w:r>
              <w:rPr>
                <w:rFonts w:ascii="Arial" w:cs="Arial" w:eastAsia="Arial" w:hAnsi="Arial"/>
                <w:b w:val="false"/>
                <w:bCs w:val="false"/>
                <w:color w:val="333333"/>
                <w:sz w:val="16"/>
                <w:szCs w:val="16"/>
              </w:rPr>
              <w:t xml:space="preserve">Licensed waste contractor</w:t>
            </w:r>
          </w:p>
          <w:p>
            <w:pPr>
              <w:spacing w:after="0"/>
              <w:jc w:val="left"/>
            </w:pPr>
            <w:r>
              <w:rPr>
                <w:rFonts w:ascii="Arial" w:cs="Arial" w:eastAsia="Arial" w:hAnsi="Arial"/>
                <w:b w:val="false"/>
                <w:bCs w:val="false"/>
                <w:color w:val="333333"/>
                <w:sz w:val="16"/>
                <w:szCs w:val="16"/>
              </w:rPr>
              <w:t xml:space="preserve">Waste storage secure and signed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9</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Six-monthly waste audit</w:t>
            </w:r>
          </w:p>
          <w:p>
            <w:pPr>
              <w:spacing w:after="40"/>
              <w:jc w:val="left"/>
            </w:pPr>
            <w:r>
              <w:rPr>
                <w:rFonts w:ascii="Arial" w:cs="Arial" w:eastAsia="Arial" w:hAnsi="Arial"/>
                <w:b w:val="false"/>
                <w:bCs w:val="false"/>
                <w:color w:val="333333"/>
                <w:sz w:val="16"/>
                <w:szCs w:val="16"/>
              </w:rPr>
              <w:t xml:space="preserve">Staff refresher training on waste streams</w:t>
            </w:r>
          </w:p>
          <w:p>
            <w:pPr>
              <w:spacing w:after="0"/>
              <w:jc w:val="left"/>
            </w:pPr>
            <w:r>
              <w:rPr>
                <w:rFonts w:ascii="Arial" w:cs="Arial" w:eastAsia="Arial" w:hAnsi="Arial"/>
                <w:b w:val="false"/>
                <w:bCs w:val="false"/>
                <w:color w:val="333333"/>
                <w:sz w:val="16"/>
                <w:szCs w:val="16"/>
              </w:rPr>
              <w:t xml:space="preserve">Waste transfer notes retained and audited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6</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IPC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1.6</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Outbreak of communicable disease (e.g. norovirus, influenza, COVID-19)</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 Staff, Visitors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Outbreak management plan documented</w:t>
            </w:r>
          </w:p>
          <w:p>
            <w:pPr>
              <w:spacing w:after="40"/>
              <w:jc w:val="left"/>
            </w:pPr>
            <w:r>
              <w:rPr>
                <w:rFonts w:ascii="Arial" w:cs="Arial" w:eastAsia="Arial" w:hAnsi="Arial"/>
                <w:b w:val="false"/>
                <w:bCs w:val="false"/>
                <w:color w:val="333333"/>
                <w:sz w:val="16"/>
                <w:szCs w:val="16"/>
              </w:rPr>
              <w:t xml:space="preserve">Isolation/exclusion protocols in place</w:t>
            </w:r>
          </w:p>
          <w:p>
            <w:pPr>
              <w:spacing w:after="0"/>
              <w:jc w:val="left"/>
            </w:pPr>
            <w:r>
              <w:rPr>
                <w:rFonts w:ascii="Arial" w:cs="Arial" w:eastAsia="Arial" w:hAnsi="Arial"/>
                <w:b w:val="false"/>
                <w:bCs w:val="false"/>
                <w:color w:val="333333"/>
                <w:sz w:val="16"/>
                <w:szCs w:val="16"/>
              </w:rPr>
              <w:t xml:space="preserve">UKHSA notification procedure documented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10</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Annual tabletop outbreak exercise</w:t>
            </w:r>
          </w:p>
          <w:p>
            <w:pPr>
              <w:spacing w:after="40"/>
              <w:jc w:val="left"/>
            </w:pPr>
            <w:r>
              <w:rPr>
                <w:rFonts w:ascii="Arial" w:cs="Arial" w:eastAsia="Arial" w:hAnsi="Arial"/>
                <w:b w:val="false"/>
                <w:bCs w:val="false"/>
                <w:color w:val="333333"/>
                <w:sz w:val="16"/>
                <w:szCs w:val="16"/>
              </w:rPr>
              <w:t xml:space="preserve">PPE stockpile maintained and checked quarterly</w:t>
            </w:r>
          </w:p>
          <w:p>
            <w:pPr>
              <w:spacing w:after="0"/>
              <w:jc w:val="left"/>
            </w:pPr>
            <w:r>
              <w:rPr>
                <w:rFonts w:ascii="Arial" w:cs="Arial" w:eastAsia="Arial" w:hAnsi="Arial"/>
                <w:b w:val="false"/>
                <w:bCs w:val="false"/>
                <w:color w:val="333333"/>
                <w:sz w:val="16"/>
                <w:szCs w:val="16"/>
              </w:rPr>
              <w:t xml:space="preserve">Pandemic preparedness plan reviewed annually</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5</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Reg. Manager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1.7</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Non-compliance with staff immunisation requirements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Staff, Patients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Occupational health clearance at recruitment</w:t>
            </w:r>
          </w:p>
          <w:p>
            <w:pPr>
              <w:spacing w:after="40"/>
              <w:jc w:val="left"/>
            </w:pPr>
            <w:r>
              <w:rPr>
                <w:rFonts w:ascii="Arial" w:cs="Arial" w:eastAsia="Arial" w:hAnsi="Arial"/>
                <w:b w:val="false"/>
                <w:bCs w:val="false"/>
                <w:color w:val="333333"/>
                <w:sz w:val="16"/>
                <w:szCs w:val="16"/>
              </w:rPr>
              <w:t xml:space="preserve">Immunisation records on central register</w:t>
            </w:r>
          </w:p>
          <w:p>
            <w:pPr>
              <w:spacing w:after="0"/>
              <w:jc w:val="left"/>
            </w:pPr>
            <w:r>
              <w:rPr>
                <w:rFonts w:ascii="Arial" w:cs="Arial" w:eastAsia="Arial" w:hAnsi="Arial"/>
                <w:b w:val="false"/>
                <w:bCs w:val="false"/>
                <w:color w:val="333333"/>
                <w:sz w:val="16"/>
                <w:szCs w:val="16"/>
              </w:rPr>
              <w:t xml:space="preserve">Hepatitis B status checked for exposure-prone roles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Annual immunisation compliance audit</w:t>
            </w:r>
          </w:p>
          <w:p>
            <w:pPr>
              <w:spacing w:after="40"/>
              <w:jc w:val="left"/>
            </w:pPr>
            <w:r>
              <w:rPr>
                <w:rFonts w:ascii="Arial" w:cs="Arial" w:eastAsia="Arial" w:hAnsi="Arial"/>
                <w:b w:val="false"/>
                <w:bCs w:val="false"/>
                <w:color w:val="333333"/>
                <w:sz w:val="16"/>
                <w:szCs w:val="16"/>
              </w:rPr>
              <w:t xml:space="preserve">Flu vaccination programme each autumn</w:t>
            </w:r>
          </w:p>
          <w:p>
            <w:pPr>
              <w:spacing w:after="0"/>
              <w:jc w:val="left"/>
            </w:pPr>
            <w:r>
              <w:rPr>
                <w:rFonts w:ascii="Arial" w:cs="Arial" w:eastAsia="Arial" w:hAnsi="Arial"/>
                <w:b w:val="false"/>
                <w:bCs w:val="false"/>
                <w:color w:val="333333"/>
                <w:sz w:val="16"/>
                <w:szCs w:val="16"/>
              </w:rPr>
              <w:t xml:space="preserve">Process for managing non-immune staff documented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4</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HR / OH Lead</w:t>
            </w:r>
          </w:p>
        </w:tc>
      </w:tr>
    </w:tbl>
    <w:p>
      <w:pPr>
        <w:spacing w:after="0" w:before="200"/>
      </w:pPr>
    </w:p>
    <w:p>
      <w:r>
        <w:br w:type="page"/>
      </w:r>
    </w:p>
    <w:p>
      <w:pPr>
        <w:pStyle w:val="Heading1"/>
      </w:pPr>
      <w:r>
        <w:rPr>
          <w:rFonts w:ascii="Arial" w:cs="Arial" w:eastAsia="Arial" w:hAnsi="Arial"/>
          <w:b/>
          <w:bCs/>
          <w:color w:val="0B1D3A"/>
          <w:sz w:val="28"/>
          <w:szCs w:val="28"/>
        </w:rPr>
        <w:t xml:space="preserve">Applicable Legislation and Regulatory Framework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Legislation / Regulation</w:t>
            </w:r>
          </w:p>
        </w:tc>
        <w:tc>
          <w:tcPr>
            <w:tcW w:type="dxa" w:w="4513"/>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Relevance</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Health and Social Care Act 2008 (Regulated Activities) Regulations 2014, Reg 12</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Safe care and treatment including IPC</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Health and Social Care Act 2008 – Code of Practice (Hygiene Code)</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Ten criteria for IPC compliance</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Health Protection (Notification) Regulations 2010</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Statutory notification of infectious diseases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COSHH Regulations 2002</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Safe use of disinfectants and cleaning agents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HTM 07-01 – Safe Management of Healthcare Waste</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Clinical waste segregation and disposal</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HTM 01-01 / 01-05 – Decontamination Standards</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Reusable medical device decontamination</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Environmental Protection Act 1990</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Duty of care for waste management</w:t>
            </w:r>
          </w:p>
        </w:tc>
      </w:tr>
    </w:tbl>
    <w:p>
      <w:pPr>
        <w:spacing w:after="0" w:before="200"/>
      </w:pPr>
    </w:p>
    <w:p>
      <w:pPr>
        <w:pStyle w:val="Heading1"/>
      </w:pPr>
      <w:r>
        <w:rPr>
          <w:rFonts w:ascii="Arial" w:cs="Arial" w:eastAsia="Arial" w:hAnsi="Arial"/>
          <w:b/>
          <w:bCs/>
          <w:color w:val="0B1D3A"/>
          <w:sz w:val="28"/>
          <w:szCs w:val="28"/>
        </w:rPr>
        <w:t xml:space="preserve">Risk Assessment Approval and Sign-Off</w:t>
      </w:r>
    </w:p>
    <w:p>
      <w:pPr>
        <w:spacing w:after="120"/>
        <w:jc w:val="both"/>
      </w:pPr>
      <w:r>
        <w:rPr>
          <w:rFonts w:ascii="Arial" w:cs="Arial" w:eastAsia="Arial" w:hAnsi="Arial"/>
          <w:color w:val="333333"/>
          <w:sz w:val="22"/>
          <w:szCs w:val="22"/>
        </w:rPr>
        <w:t xml:space="preserve">This risk assessment has been reviewed and approved by the following authorised personnel. By signing below, each confirms they have read, understood, and agree to implement the control measures identified.</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Role</w:t>
            </w:r>
          </w:p>
        </w:tc>
        <w:tc>
          <w:tcPr>
            <w:tcW w:type="dxa" w:w="225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Name</w:t>
            </w:r>
          </w:p>
        </w:tc>
        <w:tc>
          <w:tcPr>
            <w:tcW w:type="dxa" w:w="2257"/>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Signature</w:t>
            </w:r>
          </w:p>
        </w:tc>
        <w:tc>
          <w:tcPr>
            <w:tcW w:type="dxa" w:w="2257"/>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Registered Manager</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Clinical Lead / Medical Director</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Health &amp; Safety Lead</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CQC Nominated Individual</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bl>
    <w:p>
      <w:pPr>
        <w:spacing w:after="0" w:before="200"/>
      </w:pPr>
    </w:p>
    <w:p>
      <w:pPr>
        <w:pStyle w:val="Heading1"/>
      </w:pPr>
      <w:r>
        <w:rPr>
          <w:rFonts w:ascii="Arial" w:cs="Arial" w:eastAsia="Arial" w:hAnsi="Arial"/>
          <w:b/>
          <w:bCs/>
          <w:color w:val="0B1D3A"/>
          <w:sz w:val="28"/>
          <w:szCs w:val="28"/>
        </w:rPr>
        <w:t xml:space="preserve">Version History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26"/>
        <w:gridCol w:w="1600"/>
        <w:gridCol w:w="1600"/>
      </w:tblGrid>
      <w:tr>
        <w:tc>
          <w:tcPr>
            <w:tcW w:type="dxa" w:w="12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Version</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c>
          <w:tcPr>
            <w:tcW w:type="dxa" w:w="30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Changes Made</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Author</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Approved By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Initial issue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r>
    </w:tbl>
    <w:p>
      <w:pPr>
        <w:spacing w:after="0" w:before="200"/>
      </w:pPr>
    </w:p>
    <w:p>
      <w:pPr>
        <w:pBdr>
          <w:bottom w:val="single" w:color="0B1D3A" w:sz="6" w:space="1"/>
        </w:pBdr>
        <w:spacing w:after="100" w:before="100"/>
      </w:pPr>
    </w:p>
    <w:p>
      <w:pPr>
        <w:spacing w:after="0" w:before="80"/>
      </w:pPr>
      <w:r>
        <w:rPr>
          <w:rFonts w:ascii="Arial" w:cs="Arial" w:eastAsia="Arial" w:hAnsi="Arial"/>
          <w:i/>
          <w:iCs/>
          <w:color w:val="999999"/>
          <w:sz w:val="16"/>
          <w:szCs w:val="16"/>
        </w:rPr>
        <w:t xml:space="preserve">Disclaimer: This risk assessment template is provided by Barker Scott Ltd as a general compliance resource for CQC-regulated private health clinics. It must be customised to reflect the specific hazards, operations, premises, and circumstances of [Insert Organisation Name]. Barker Scott Ltd accepts no liability for regulatory or health and safety outcomes arising from use of this template. Independent professional advice should be sought as appropriate.</w:t>
      </w:r>
    </w:p>
    <w:sectPr>
      <w:headerReference w:type="default" r:id="rId7"/>
      <w:footerReference w:type="default" r:id="rId8"/>
      <w:pgSz w:w="16838" w:h="11906" w:orient="1"/>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right" w:pos="9026"/>
      </w:tabs>
    </w:pPr>
    <w:r>
      <w:rPr>
        <w:rFonts w:ascii="Arial" w:cs="Arial" w:eastAsia="Arial" w:hAnsi="Arial"/>
        <w:color w:val="999999"/>
        <w:sz w:val="16"/>
        <w:szCs w:val="16"/>
      </w:rPr>
      <w:t xml:space="preserve">Ref: BS-PHC-RA-IPC-001 | Version 1.0</w:t>
    </w:r>
    <w:r>
      <w:rPr>
        <w:rFonts w:ascii="Arial" w:cs="Arial" w:eastAsia="Arial" w:hAnsi="Arial"/>
        <w:color w:val="D4AF37"/>
        <w:sz w:val="16"/>
        <w:szCs w:val="16"/>
      </w:rPr>
      <w:t xml:space="preserve">	barker-scott.co.uk</w:t>
    </w:r>
  </w:p>
  <w:p>
    <w:pPr>
      <w:spacing w:after="0" w:before="40"/>
    </w:pPr>
    <w:r>
      <w:rPr>
        <w:rFonts w:ascii="Arial" w:cs="Arial" w:eastAsia="Arial" w:hAnsi="Arial"/>
        <w:i/>
        <w:iCs/>
        <w:color w:val="999999"/>
        <w:sz w:val="14"/>
        <w:szCs w:val="14"/>
      </w:rPr>
      <w:t xml:space="preserve">© Barker Scott Ltd. All rights reserved. Unauthorised reproduction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tabs>
        <w:tab w:val="right" w:pos="9026"/>
      </w:tabs>
      <w:spacing w:after="0"/>
    </w:pPr>
    <w:r>
      <w:rPr>
        <w:rFonts w:ascii="Arial" w:cs="Arial" w:eastAsia="Arial" w:hAnsi="Arial"/>
        <w:b/>
        <w:bCs/>
        <w:color w:val="0B1D3A"/>
        <w:sz w:val="18"/>
        <w:szCs w:val="18"/>
      </w:rPr>
      <w:t xml:space="preserve">BARKER SCOTT</w:t>
    </w:r>
    <w:r>
      <w:rPr>
        <w:rFonts w:ascii="Arial" w:cs="Arial" w:eastAsia="Arial" w:hAnsi="Arial"/>
        <w:color w:val="999999"/>
        <w:sz w:val="16"/>
        <w:szCs w:val="16"/>
      </w:rPr>
      <w:t xml:space="preserve">	Risk Assessment: Infection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2026-05-15T09:24:54.080Z</dcterms:created>
  <dcterms:modified xsi:type="dcterms:W3CDTF">2026-05-15T09:24:54.096Z</dcterms:modified>
</cp:coreProperties>
</file>

<file path=docProps/custom.xml><?xml version="1.0" encoding="utf-8"?>
<Properties xmlns="http://schemas.openxmlformats.org/officeDocument/2006/custom-properties" xmlns:vt="http://schemas.openxmlformats.org/officeDocument/2006/docPropsVTypes"/>
</file>