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60"/>
        <w:jc w:val="center"/>
      </w:pPr>
      <w:r>
        <w:rPr>
          <w:rFonts w:ascii="Arial" w:cs="Arial" w:eastAsia="Arial" w:hAnsi="Arial"/>
          <w:b/>
          <w:bCs/>
          <w:color w:val="D4AF37"/>
          <w:sz w:val="28"/>
          <w:szCs w:val="28"/>
        </w:rPr>
        <w:t xml:space="preserve">RISK ASSESSMENT</w:t>
      </w:r>
    </w:p>
    <w:p>
      <w:pPr>
        <w:spacing w:after="100"/>
        <w:jc w:val="center"/>
      </w:pPr>
      <w:r>
        <w:rPr>
          <w:rFonts w:ascii="Arial" w:cs="Arial" w:eastAsia="Arial" w:hAnsi="Arial"/>
          <w:b/>
          <w:bCs/>
          <w:color w:val="0B1D3A"/>
          <w:sz w:val="38"/>
          <w:szCs w:val="38"/>
        </w:rPr>
        <w:t xml:space="preserve">Information Governance and
Cyber Security Risk Assessment</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BS-PHC-RA-IG-010</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Information Governance and
Cyber Security Risk Assessment</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BS-PHC-RA-IG-010</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Assessor:</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Role]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Organisation Name]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Location / Site: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Clinic Address]</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risk assessment identifies threats to the confidentiality, integrity, and availability of personal data and clinical information systems within [Insert Organisation Name]. It establishes control measures to protect against data breaches, cyber attacks, and information governance failures. It ensures compliance with the UK General Data Protection Regulation (UK GDPR), the Data Protection Act 2018, the Network and Information Systems Regulations 2018 (NIS Regulations), the Computer Misuse Act 1990, and CQC Regulation 17 (Good Governance).</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assessment covers all information assets including electronic patient records (EPR), practice management systems, email and messaging, clinical imaging, staff HR records, financial systems, networked medical devices, and paper-based records. It applies to all staff, contractors, and third-party processors with access to personal or clinical data.</w:t>
      </w:r>
    </w:p>
    <w:p>
      <w:r>
        <w:br w:type="page"/>
      </w:r>
    </w:p>
    <w:p>
      <w:pPr>
        <w:pStyle w:val="Heading1"/>
      </w:pPr>
      <w:r>
        <w:rPr>
          <w:rFonts w:ascii="Arial" w:cs="Arial" w:eastAsia="Arial" w:hAnsi="Arial"/>
          <w:b/>
          <w:bCs/>
          <w:color w:val="0B1D3A"/>
          <w:sz w:val="28"/>
          <w:szCs w:val="28"/>
        </w:rPr>
        <w:t xml:space="preserve">Risk Assessment Matrix</w:t>
      </w:r>
    </w:p>
    <w:p>
      <w:pPr>
        <w:spacing w:after="120"/>
        <w:jc w:val="both"/>
      </w:pPr>
      <w:r>
        <w:rPr>
          <w:rFonts w:ascii="Arial" w:cs="Arial" w:eastAsia="Arial" w:hAnsi="Arial"/>
          <w:color w:val="333333"/>
          <w:sz w:val="22"/>
          <w:szCs w:val="22"/>
        </w:rPr>
        <w:t xml:space="preserve">Risk is calculated as Likelihood × Severity using the 5×5 risk matrix below. Initial risk is assessed before additional controls; residual risk is the rating after implementation of all additional control measures.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c>
          <w:tcPr>
            <w:tcW w:type="dxa" w:w="18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Likelihood ↓ / Severity →</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1
Negligible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2
Minor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3
Moderate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4
Major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5
Catastrophic</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 – Almost Certain</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 – Likely</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16</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 – Possible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9</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 – Unlikely</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 – Rare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r>
    </w:tbl>
    <w:p>
      <w:pPr>
        <w:spacing w:after="0" w:before="160"/>
      </w:pPr>
    </w:p>
    <w:p>
      <w:pPr>
        <w:pStyle w:val="Heading2"/>
      </w:pPr>
      <w:r>
        <w:rPr>
          <w:rFonts w:ascii="Arial" w:cs="Arial" w:eastAsia="Arial" w:hAnsi="Arial"/>
          <w:b/>
          <w:bCs/>
          <w:color w:val="0B1D3A"/>
          <w:sz w:val="24"/>
          <w:szCs w:val="24"/>
        </w:rPr>
        <w:t xml:space="preserve">Risk Rating Action Key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Score</w:t>
            </w:r>
          </w:p>
        </w:tc>
        <w:tc>
          <w:tcPr>
            <w:tcW w:type="dxa" w:w="2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Rating</w:t>
            </w:r>
          </w:p>
        </w:tc>
        <w:tc>
          <w:tcPr>
            <w:tcW w:type="dxa" w:w="5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Required Action</w:t>
            </w:r>
          </w:p>
        </w:tc>
      </w:tr>
      <w:tr>
        <w:tc>
          <w:tcPr>
            <w:tcW w:type="dxa" w:w="1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15–25</w:t>
            </w:r>
          </w:p>
        </w:tc>
        <w:tc>
          <w:tcPr>
            <w:tcW w:type="dxa" w:w="2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left"/>
            </w:pPr>
            <w:r>
              <w:rPr>
                <w:rFonts w:ascii="Arial" w:cs="Arial" w:eastAsia="Arial" w:hAnsi="Arial"/>
                <w:b/>
                <w:bCs/>
                <w:color w:val="C0392B"/>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Immediate action required. Escalate to Registered Manager and Clinical Lead. Consider suspending activity until controls are implemented.</w:t>
            </w:r>
          </w:p>
        </w:tc>
      </w:tr>
      <w:tr>
        <w:tc>
          <w:tcPr>
            <w:tcW w:type="dxa" w:w="1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8–12</w:t>
            </w:r>
          </w:p>
        </w:tc>
        <w:tc>
          <w:tcPr>
            <w:tcW w:type="dxa" w:w="2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left"/>
            </w:pPr>
            <w:r>
              <w:rPr>
                <w:rFonts w:ascii="Arial" w:cs="Arial" w:eastAsia="Arial" w:hAnsi="Arial"/>
                <w:b/>
                <w:bCs/>
                <w:color w:val="D35400"/>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Action required within defined timescale. Implement additional controls and monitor. Report to governance meeting.</w:t>
            </w:r>
          </w:p>
        </w:tc>
      </w:tr>
      <w:tr>
        <w:tc>
          <w:tcPr>
            <w:tcW w:type="dxa" w:w="1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4–6</w:t>
            </w:r>
          </w:p>
        </w:tc>
        <w:tc>
          <w:tcPr>
            <w:tcW w:type="dxa" w:w="2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left"/>
            </w:pPr>
            <w:r>
              <w:rPr>
                <w:rFonts w:ascii="Arial" w:cs="Arial" w:eastAsia="Arial" w:hAnsi="Arial"/>
                <w:b/>
                <w:bCs/>
                <w:color w:val="7D6608"/>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Manage by routine procedures and existing controls. Monitor for change. Review at scheduled intervals.</w:t>
            </w:r>
          </w:p>
        </w:tc>
      </w:tr>
      <w:tr>
        <w:tc>
          <w:tcPr>
            <w:tcW w:type="dxa" w:w="1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1–3</w:t>
            </w:r>
          </w:p>
        </w:tc>
        <w:tc>
          <w:tcPr>
            <w:tcW w:type="dxa" w:w="2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left"/>
            </w:pPr>
            <w:r>
              <w:rPr>
                <w:rFonts w:ascii="Arial" w:cs="Arial" w:eastAsia="Arial" w:hAnsi="Arial"/>
                <w:b/>
                <w:bCs/>
                <w:color w:val="1E8449"/>
                <w:sz w:val="20"/>
                <w:szCs w:val="20"/>
              </w:rPr>
              <w:t xml:space="preserve">VERY 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No additional action required. Maintain current controls. Include in routine review cycle.</w:t>
            </w:r>
          </w:p>
        </w:tc>
      </w:tr>
    </w:tbl>
    <w:p>
      <w:pPr>
        <w:spacing w:after="0" w:before="200"/>
      </w:pPr>
    </w:p>
    <w:p>
      <w:r>
        <w:br w:type="page"/>
      </w:r>
    </w:p>
    <w:p>
      <w:pPr>
        <w:pStyle w:val="Heading1"/>
      </w:pPr>
      <w:r>
        <w:rPr>
          <w:rFonts w:ascii="Arial" w:cs="Arial" w:eastAsia="Arial" w:hAnsi="Arial"/>
          <w:b/>
          <w:bCs/>
          <w:color w:val="0B1D3A"/>
          <w:sz w:val="28"/>
          <w:szCs w:val="28"/>
        </w:rPr>
        <w:t xml:space="preserve">Hazard Identification and Risk Register</w:t>
      </w:r>
    </w:p>
    <w:p>
      <w:pPr>
        <w:spacing w:after="120"/>
        <w:jc w:val="both"/>
      </w:pPr>
      <w:r>
        <w:rPr>
          <w:rFonts w:ascii="Arial" w:cs="Arial" w:eastAsia="Arial" w:hAnsi="Arial"/>
          <w:color w:val="333333"/>
          <w:sz w:val="22"/>
          <w:szCs w:val="22"/>
        </w:rPr>
        <w:t xml:space="preserve">L = Likelihood (1–5) | S = Severity (1–5) | Risk = L × S. Existing controls are currently in place; additional controls are recommended actions to reduce residual risk.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700"/>
        <w:gridCol w:w="1700"/>
        <w:gridCol w:w="400"/>
        <w:gridCol w:w="400"/>
        <w:gridCol w:w="450"/>
        <w:gridCol w:w="1700"/>
        <w:gridCol w:w="400"/>
        <w:gridCol w:w="400"/>
        <w:gridCol w:w="450"/>
        <w:gridCol w:w="926"/>
      </w:tblGrid>
      <w:tr>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Ref</w:t>
            </w:r>
          </w:p>
        </w:tc>
        <w:tc>
          <w:tcPr>
            <w:tcW w:type="dxa" w:w="11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Hazard / Risk</w:t>
            </w:r>
          </w:p>
        </w:tc>
        <w:tc>
          <w:tcPr>
            <w:tcW w:type="dxa" w:w="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Who is at 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Existing Control Measures</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Additional Control Measures Required</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9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Owner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10.1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Ransomware or malware attack disabling clinical systems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 (delayed care), Organisation</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Endpoint antivirus/antimalware installed</w:t>
            </w:r>
          </w:p>
          <w:p>
            <w:pPr>
              <w:spacing w:after="40"/>
              <w:jc w:val="left"/>
            </w:pPr>
            <w:r>
              <w:rPr>
                <w:rFonts w:ascii="Arial" w:cs="Arial" w:eastAsia="Arial" w:hAnsi="Arial"/>
                <w:b w:val="false"/>
                <w:bCs w:val="false"/>
                <w:color w:val="333333"/>
                <w:sz w:val="16"/>
                <w:szCs w:val="16"/>
              </w:rPr>
              <w:t xml:space="preserve">Firewall and intrusion detection active</w:t>
            </w:r>
          </w:p>
          <w:p>
            <w:pPr>
              <w:spacing w:after="0"/>
              <w:jc w:val="left"/>
            </w:pPr>
            <w:r>
              <w:rPr>
                <w:rFonts w:ascii="Arial" w:cs="Arial" w:eastAsia="Arial" w:hAnsi="Arial"/>
                <w:b w:val="false"/>
                <w:bCs w:val="false"/>
                <w:color w:val="333333"/>
                <w:sz w:val="16"/>
                <w:szCs w:val="16"/>
              </w:rPr>
              <w:t xml:space="preserve">Daily automated backup to off-site location</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16"/>
                <w:szCs w:val="16"/>
              </w:rPr>
              <w:t xml:space="preserve">15</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Cyber Essentials Plus certification</w:t>
            </w:r>
          </w:p>
          <w:p>
            <w:pPr>
              <w:spacing w:after="40"/>
              <w:jc w:val="left"/>
            </w:pPr>
            <w:r>
              <w:rPr>
                <w:rFonts w:ascii="Arial" w:cs="Arial" w:eastAsia="Arial" w:hAnsi="Arial"/>
                <w:b w:val="false"/>
                <w:bCs w:val="false"/>
                <w:color w:val="333333"/>
                <w:sz w:val="16"/>
                <w:szCs w:val="16"/>
              </w:rPr>
              <w:t xml:space="preserve">Quarterly penetration test by accredited provider</w:t>
            </w:r>
          </w:p>
          <w:p>
            <w:pPr>
              <w:spacing w:after="40"/>
              <w:jc w:val="left"/>
            </w:pPr>
            <w:r>
              <w:rPr>
                <w:rFonts w:ascii="Arial" w:cs="Arial" w:eastAsia="Arial" w:hAnsi="Arial"/>
                <w:b w:val="false"/>
                <w:bCs w:val="false"/>
                <w:color w:val="333333"/>
                <w:sz w:val="16"/>
                <w:szCs w:val="16"/>
              </w:rPr>
              <w:t xml:space="preserve">Incident response plan tested annually</w:t>
            </w:r>
          </w:p>
          <w:p>
            <w:pPr>
              <w:spacing w:after="0"/>
              <w:jc w:val="left"/>
            </w:pPr>
            <w:r>
              <w:rPr>
                <w:rFonts w:ascii="Arial" w:cs="Arial" w:eastAsia="Arial" w:hAnsi="Arial"/>
                <w:b w:val="false"/>
                <w:bCs w:val="false"/>
                <w:color w:val="333333"/>
                <w:sz w:val="16"/>
                <w:szCs w:val="16"/>
              </w:rPr>
              <w:t xml:space="preserve">Immutable backup copy maintained offline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10</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IT Lead / DPO</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10.2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Phishing or social engineering attack leading to credential theft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Staff, Patients (data)</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Email filtering and spam protection</w:t>
            </w:r>
          </w:p>
          <w:p>
            <w:pPr>
              <w:spacing w:after="40"/>
              <w:jc w:val="left"/>
            </w:pPr>
            <w:r>
              <w:rPr>
                <w:rFonts w:ascii="Arial" w:cs="Arial" w:eastAsia="Arial" w:hAnsi="Arial"/>
                <w:b w:val="false"/>
                <w:bCs w:val="false"/>
                <w:color w:val="333333"/>
                <w:sz w:val="16"/>
                <w:szCs w:val="16"/>
              </w:rPr>
              <w:t xml:space="preserve">Multi-factor authentication (MFA) on all clinical systems</w:t>
            </w:r>
          </w:p>
          <w:p>
            <w:pPr>
              <w:spacing w:after="0"/>
              <w:jc w:val="left"/>
            </w:pPr>
            <w:r>
              <w:rPr>
                <w:rFonts w:ascii="Arial" w:cs="Arial" w:eastAsia="Arial" w:hAnsi="Arial"/>
                <w:b w:val="false"/>
                <w:bCs w:val="false"/>
                <w:color w:val="333333"/>
                <w:sz w:val="16"/>
                <w:szCs w:val="16"/>
              </w:rPr>
              <w:t xml:space="preserve">Data protection training at induction</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12</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Simulated phishing exercises quarterly</w:t>
            </w:r>
          </w:p>
          <w:p>
            <w:pPr>
              <w:spacing w:after="40"/>
              <w:jc w:val="left"/>
            </w:pPr>
            <w:r>
              <w:rPr>
                <w:rFonts w:ascii="Arial" w:cs="Arial" w:eastAsia="Arial" w:hAnsi="Arial"/>
                <w:b w:val="false"/>
                <w:bCs w:val="false"/>
                <w:color w:val="333333"/>
                <w:sz w:val="16"/>
                <w:szCs w:val="16"/>
              </w:rPr>
              <w:t xml:space="preserve">Staff awareness campaign ongoing</w:t>
            </w:r>
          </w:p>
          <w:p>
            <w:pPr>
              <w:spacing w:after="0"/>
              <w:jc w:val="left"/>
            </w:pPr>
            <w:r>
              <w:rPr>
                <w:rFonts w:ascii="Arial" w:cs="Arial" w:eastAsia="Arial" w:hAnsi="Arial"/>
                <w:b w:val="false"/>
                <w:bCs w:val="false"/>
                <w:color w:val="333333"/>
                <w:sz w:val="16"/>
                <w:szCs w:val="16"/>
              </w:rPr>
              <w:t xml:space="preserve">Suspicious email reporting button in email client</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IT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10.3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Unauthorised access to patient records (internal or external)</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Role-based access controls (RBAC)</w:t>
            </w:r>
          </w:p>
          <w:p>
            <w:pPr>
              <w:spacing w:after="40"/>
              <w:jc w:val="left"/>
            </w:pPr>
            <w:r>
              <w:rPr>
                <w:rFonts w:ascii="Arial" w:cs="Arial" w:eastAsia="Arial" w:hAnsi="Arial"/>
                <w:b w:val="false"/>
                <w:bCs w:val="false"/>
                <w:color w:val="333333"/>
                <w:sz w:val="16"/>
                <w:szCs w:val="16"/>
              </w:rPr>
              <w:t xml:space="preserve">Unique user accounts (no shared logins)</w:t>
            </w:r>
          </w:p>
          <w:p>
            <w:pPr>
              <w:spacing w:after="0"/>
              <w:jc w:val="left"/>
            </w:pPr>
            <w:r>
              <w:rPr>
                <w:rFonts w:ascii="Arial" w:cs="Arial" w:eastAsia="Arial" w:hAnsi="Arial"/>
                <w:b w:val="false"/>
                <w:bCs w:val="false"/>
                <w:color w:val="333333"/>
                <w:sz w:val="16"/>
                <w:szCs w:val="16"/>
              </w:rPr>
              <w:t xml:space="preserve">Automatic session timeout</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Quarterly access rights review and audit</w:t>
            </w:r>
          </w:p>
          <w:p>
            <w:pPr>
              <w:spacing w:after="40"/>
              <w:jc w:val="left"/>
            </w:pPr>
            <w:r>
              <w:rPr>
                <w:rFonts w:ascii="Arial" w:cs="Arial" w:eastAsia="Arial" w:hAnsi="Arial"/>
                <w:b w:val="false"/>
                <w:bCs w:val="false"/>
                <w:color w:val="333333"/>
                <w:sz w:val="16"/>
                <w:szCs w:val="16"/>
              </w:rPr>
              <w:t xml:space="preserve">Leavers’ accounts disabled same day</w:t>
            </w:r>
          </w:p>
          <w:p>
            <w:pPr>
              <w:spacing w:after="0"/>
              <w:jc w:val="left"/>
            </w:pPr>
            <w:r>
              <w:rPr>
                <w:rFonts w:ascii="Arial" w:cs="Arial" w:eastAsia="Arial" w:hAnsi="Arial"/>
                <w:b w:val="false"/>
                <w:bCs w:val="false"/>
                <w:color w:val="333333"/>
                <w:sz w:val="16"/>
                <w:szCs w:val="16"/>
              </w:rPr>
              <w:t xml:space="preserve">Audit trail reviewed monthly for anomalous access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DPO</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10.4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Loss or theft of portable device containing patient data</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Full-disk encryption on all devices</w:t>
            </w:r>
          </w:p>
          <w:p>
            <w:pPr>
              <w:spacing w:after="40"/>
              <w:jc w:val="left"/>
            </w:pPr>
            <w:r>
              <w:rPr>
                <w:rFonts w:ascii="Arial" w:cs="Arial" w:eastAsia="Arial" w:hAnsi="Arial"/>
                <w:b w:val="false"/>
                <w:bCs w:val="false"/>
                <w:color w:val="333333"/>
                <w:sz w:val="16"/>
                <w:szCs w:val="16"/>
              </w:rPr>
              <w:t xml:space="preserve">Remote wipe capability</w:t>
            </w:r>
          </w:p>
          <w:p>
            <w:pPr>
              <w:spacing w:after="0"/>
              <w:jc w:val="left"/>
            </w:pPr>
            <w:r>
              <w:rPr>
                <w:rFonts w:ascii="Arial" w:cs="Arial" w:eastAsia="Arial" w:hAnsi="Arial"/>
                <w:b w:val="false"/>
                <w:bCs w:val="false"/>
                <w:color w:val="333333"/>
                <w:sz w:val="16"/>
                <w:szCs w:val="16"/>
              </w:rPr>
              <w:t xml:space="preserve">Mobile device management (MDM) solution</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Personal device (BYOD) policy prohibiting patient data on personal devices</w:t>
            </w:r>
          </w:p>
          <w:p>
            <w:pPr>
              <w:spacing w:after="40"/>
              <w:jc w:val="left"/>
            </w:pPr>
            <w:r>
              <w:rPr>
                <w:rFonts w:ascii="Arial" w:cs="Arial" w:eastAsia="Arial" w:hAnsi="Arial"/>
                <w:b w:val="false"/>
                <w:bCs w:val="false"/>
                <w:color w:val="333333"/>
                <w:sz w:val="16"/>
                <w:szCs w:val="16"/>
              </w:rPr>
              <w:t xml:space="preserve">Asset register for all data-bearing devices</w:t>
            </w:r>
          </w:p>
          <w:p>
            <w:pPr>
              <w:spacing w:after="0"/>
              <w:jc w:val="left"/>
            </w:pPr>
            <w:r>
              <w:rPr>
                <w:rFonts w:ascii="Arial" w:cs="Arial" w:eastAsia="Arial" w:hAnsi="Arial"/>
                <w:b w:val="false"/>
                <w:bCs w:val="false"/>
                <w:color w:val="333333"/>
                <w:sz w:val="16"/>
                <w:szCs w:val="16"/>
              </w:rPr>
              <w:t xml:space="preserve">Reportable breach assessed within 24 hours (ICO 72-hour rule)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IT Lead / DPO</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10.5</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Paper records left unsecured or improperly disposed of</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Paper records in locked cabinets when not in use</w:t>
            </w:r>
          </w:p>
          <w:p>
            <w:pPr>
              <w:spacing w:after="40"/>
              <w:jc w:val="left"/>
            </w:pPr>
            <w:r>
              <w:rPr>
                <w:rFonts w:ascii="Arial" w:cs="Arial" w:eastAsia="Arial" w:hAnsi="Arial"/>
                <w:b w:val="false"/>
                <w:bCs w:val="false"/>
                <w:color w:val="333333"/>
                <w:sz w:val="16"/>
                <w:szCs w:val="16"/>
              </w:rPr>
              <w:t xml:space="preserve">Confidential waste cross-cut shredding</w:t>
            </w:r>
          </w:p>
          <w:p>
            <w:pPr>
              <w:spacing w:after="0"/>
              <w:jc w:val="left"/>
            </w:pPr>
            <w:r>
              <w:rPr>
                <w:rFonts w:ascii="Arial" w:cs="Arial" w:eastAsia="Arial" w:hAnsi="Arial"/>
                <w:b w:val="false"/>
                <w:bCs w:val="false"/>
                <w:color w:val="333333"/>
                <w:sz w:val="16"/>
                <w:szCs w:val="16"/>
              </w:rPr>
              <w:t xml:space="preserve">Clear desk policy</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Monthly clear desk audit</w:t>
            </w:r>
          </w:p>
          <w:p>
            <w:pPr>
              <w:spacing w:after="40"/>
              <w:jc w:val="left"/>
            </w:pPr>
            <w:r>
              <w:rPr>
                <w:rFonts w:ascii="Arial" w:cs="Arial" w:eastAsia="Arial" w:hAnsi="Arial"/>
                <w:b w:val="false"/>
                <w:bCs w:val="false"/>
                <w:color w:val="333333"/>
                <w:sz w:val="16"/>
                <w:szCs w:val="16"/>
              </w:rPr>
              <w:t xml:space="preserve">Confidential waste bins in every clinical room</w:t>
            </w:r>
          </w:p>
          <w:p>
            <w:pPr>
              <w:spacing w:after="0"/>
              <w:jc w:val="left"/>
            </w:pPr>
            <w:r>
              <w:rPr>
                <w:rFonts w:ascii="Arial" w:cs="Arial" w:eastAsia="Arial" w:hAnsi="Arial"/>
                <w:b w:val="false"/>
                <w:bCs w:val="false"/>
                <w:color w:val="333333"/>
                <w:sz w:val="16"/>
                <w:szCs w:val="16"/>
              </w:rPr>
              <w:t xml:space="preserve">Annual records management training refresher</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16"/>
                <w:szCs w:val="16"/>
              </w:rPr>
              <w:t xml:space="preserve">3</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DPO</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10.6</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Data breach via third-party supplier or processor</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 Organisation</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Data processing agreements (Art. 28 UK GDPR) in place</w:t>
            </w:r>
          </w:p>
          <w:p>
            <w:pPr>
              <w:spacing w:after="40"/>
              <w:jc w:val="left"/>
            </w:pPr>
            <w:r>
              <w:rPr>
                <w:rFonts w:ascii="Arial" w:cs="Arial" w:eastAsia="Arial" w:hAnsi="Arial"/>
                <w:b w:val="false"/>
                <w:bCs w:val="false"/>
                <w:color w:val="333333"/>
                <w:sz w:val="16"/>
                <w:szCs w:val="16"/>
              </w:rPr>
              <w:t xml:space="preserve">Supplier due diligence at procurement</w:t>
            </w:r>
          </w:p>
          <w:p>
            <w:pPr>
              <w:spacing w:after="0"/>
              <w:jc w:val="left"/>
            </w:pPr>
            <w:r>
              <w:rPr>
                <w:rFonts w:ascii="Arial" w:cs="Arial" w:eastAsia="Arial" w:hAnsi="Arial"/>
                <w:b w:val="false"/>
                <w:bCs w:val="false"/>
                <w:color w:val="333333"/>
                <w:sz w:val="16"/>
                <w:szCs w:val="16"/>
              </w:rPr>
              <w:t xml:space="preserve">Cloud providers ISO 27001 certified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Annual supplier information governance audit</w:t>
            </w:r>
          </w:p>
          <w:p>
            <w:pPr>
              <w:spacing w:after="40"/>
              <w:jc w:val="left"/>
            </w:pPr>
            <w:r>
              <w:rPr>
                <w:rFonts w:ascii="Arial" w:cs="Arial" w:eastAsia="Arial" w:hAnsi="Arial"/>
                <w:b w:val="false"/>
                <w:bCs w:val="false"/>
                <w:color w:val="333333"/>
                <w:sz w:val="16"/>
                <w:szCs w:val="16"/>
              </w:rPr>
              <w:t xml:space="preserve">Right-to-audit clause enforced</w:t>
            </w:r>
          </w:p>
          <w:p>
            <w:pPr>
              <w:spacing w:after="0"/>
              <w:jc w:val="left"/>
            </w:pPr>
            <w:r>
              <w:rPr>
                <w:rFonts w:ascii="Arial" w:cs="Arial" w:eastAsia="Arial" w:hAnsi="Arial"/>
                <w:b w:val="false"/>
                <w:bCs w:val="false"/>
                <w:color w:val="333333"/>
                <w:sz w:val="16"/>
                <w:szCs w:val="16"/>
              </w:rPr>
              <w:t xml:space="preserve">Data Protection Impact Assessment (DPIA) for new suppliers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DPO</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10.7</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Failure to report data breach to ICO within 72 hours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Organisation, 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Data breach procedure documented</w:t>
            </w:r>
          </w:p>
          <w:p>
            <w:pPr>
              <w:spacing w:after="40"/>
              <w:jc w:val="left"/>
            </w:pPr>
            <w:r>
              <w:rPr>
                <w:rFonts w:ascii="Arial" w:cs="Arial" w:eastAsia="Arial" w:hAnsi="Arial"/>
                <w:b w:val="false"/>
                <w:bCs w:val="false"/>
                <w:color w:val="333333"/>
                <w:sz w:val="16"/>
                <w:szCs w:val="16"/>
              </w:rPr>
              <w:t xml:space="preserve">DPO contactable during operating hours</w:t>
            </w:r>
          </w:p>
          <w:p>
            <w:pPr>
              <w:spacing w:after="0"/>
              <w:jc w:val="left"/>
            </w:pPr>
            <w:r>
              <w:rPr>
                <w:rFonts w:ascii="Arial" w:cs="Arial" w:eastAsia="Arial" w:hAnsi="Arial"/>
                <w:b w:val="false"/>
                <w:bCs w:val="false"/>
                <w:color w:val="333333"/>
                <w:sz w:val="16"/>
                <w:szCs w:val="16"/>
              </w:rPr>
              <w:t xml:space="preserve">Breach assessment template available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Out-of-hours DPO escalation procedure</w:t>
            </w:r>
          </w:p>
          <w:p>
            <w:pPr>
              <w:spacing w:after="40"/>
              <w:jc w:val="left"/>
            </w:pPr>
            <w:r>
              <w:rPr>
                <w:rFonts w:ascii="Arial" w:cs="Arial" w:eastAsia="Arial" w:hAnsi="Arial"/>
                <w:b w:val="false"/>
                <w:bCs w:val="false"/>
                <w:color w:val="333333"/>
                <w:sz w:val="16"/>
                <w:szCs w:val="16"/>
              </w:rPr>
              <w:t xml:space="preserve">Annual breach response tabletop exercise</w:t>
            </w:r>
          </w:p>
          <w:p>
            <w:pPr>
              <w:spacing w:after="0"/>
              <w:jc w:val="left"/>
            </w:pPr>
            <w:r>
              <w:rPr>
                <w:rFonts w:ascii="Arial" w:cs="Arial" w:eastAsia="Arial" w:hAnsi="Arial"/>
                <w:b w:val="false"/>
                <w:bCs w:val="false"/>
                <w:color w:val="333333"/>
                <w:sz w:val="16"/>
                <w:szCs w:val="16"/>
              </w:rPr>
              <w:t xml:space="preserve">Breach log reviewed at governance meeting</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Reg. Manager</w:t>
            </w:r>
          </w:p>
        </w:tc>
      </w:tr>
    </w:tbl>
    <w:p>
      <w:pPr>
        <w:spacing w:after="0" w:before="200"/>
      </w:pP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Relevance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UK General Data Protection Regulation (UK GDPR)</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Data protection principles, breach notification, DPIA requirements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Data Protection Act 2018</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Supplementary UK provisions including law enforcement processing</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Computer Misuse Act 1990</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Offences of unauthorised access to computer systems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Network and Information Systems Regulations 2018 (NIS)</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Security of network and information systems for digital service providers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Social Care Act 2008 (Regulated Activities) Regs 2014, Reg 17</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Good governance including information management</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Common Law Duty of Confidentiality</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Protection of patient-identifiable information</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NCSC Cyber Essentials / Cyber Essentials Plus</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HMG-backed cyber security certification scheme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NHS Data Security and Protection Toolkit (DSPT)</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Annual self-assessment for health and care organisations</w:t>
            </w:r>
          </w:p>
        </w:tc>
      </w:tr>
    </w:tbl>
    <w:p>
      <w:pPr>
        <w:spacing w:after="0" w:before="200"/>
      </w:pPr>
    </w:p>
    <w:p>
      <w:pPr>
        <w:pStyle w:val="Heading1"/>
      </w:pPr>
      <w:r>
        <w:rPr>
          <w:rFonts w:ascii="Arial" w:cs="Arial" w:eastAsia="Arial" w:hAnsi="Arial"/>
          <w:b/>
          <w:bCs/>
          <w:color w:val="0B1D3A"/>
          <w:sz w:val="28"/>
          <w:szCs w:val="28"/>
        </w:rPr>
        <w:t xml:space="preserve">Risk Assessment Approval and Sign-Off</w:t>
      </w:r>
    </w:p>
    <w:p>
      <w:pPr>
        <w:spacing w:after="120"/>
        <w:jc w:val="both"/>
      </w:pPr>
      <w:r>
        <w:rPr>
          <w:rFonts w:ascii="Arial" w:cs="Arial" w:eastAsia="Arial" w:hAnsi="Arial"/>
          <w:color w:val="333333"/>
          <w:sz w:val="22"/>
          <w:szCs w:val="22"/>
        </w:rPr>
        <w:t xml:space="preserve">This risk assessment has been reviewed and approved by the following authorised personnel. By signing below, each confirms they have read, understood, and agree to implement the control measures identified.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Health &amp; Safety Lead</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Approved By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risk assessment template is provided by Barker Scott Ltd as a general compliance resource for CQC-regulated private health clinics. It must be customised to reflect the specific hazards, operations, premises, and circumstances of [Insert Organisation Name]. Barker Scott Ltd accepts no liability for regulatory or health and safety outcomes arising from use of this template. Independent professional advice should be sought as appropriate.</w:t>
      </w:r>
    </w:p>
    <w:sectPr>
      <w:headerReference w:type="default" r:id="rId7"/>
      <w:footerReference w:type="default" r:id="rId8"/>
      <w:pgSz w:w="16838" w:h="11906" w:orient="1"/>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pPr>
    <w:r>
      <w:rPr>
        <w:rFonts w:ascii="Arial" w:cs="Arial" w:eastAsia="Arial" w:hAnsi="Arial"/>
        <w:color w:val="999999"/>
        <w:sz w:val="16"/>
        <w:szCs w:val="16"/>
      </w:rPr>
      <w:t xml:space="preserve">Ref: BS-PHC-RA-IG-010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Risk Assessment: IG &amp; Cyber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2026-05-15T09:24:55.653Z</dcterms:created>
  <dcterms:modified xsi:type="dcterms:W3CDTF">2026-05-15T09:24:55.653Z</dcterms:modified>
</cp:coreProperties>
</file>

<file path=docProps/custom.xml><?xml version="1.0" encoding="utf-8"?>
<Properties xmlns="http://schemas.openxmlformats.org/officeDocument/2006/custom-properties" xmlns:vt="http://schemas.openxmlformats.org/officeDocument/2006/docPropsVTypes"/>
</file>