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jc w:val="center"/>
      </w:pPr>
      <w:r>
        <w:rPr>
          <w:rFonts w:ascii="Arial" w:cs="Arial" w:eastAsia="Arial" w:hAnsi="Arial"/>
          <w:b/>
          <w:bCs/>
          <w:color w:val="0B1D3A"/>
          <w:sz w:val="56"/>
          <w:szCs w:val="56"/>
        </w:rPr>
        <w:t xml:space="preserve">BARKER SCOTT</w:t>
      </w:r>
    </w:p>
    <w:p>
      <w:pPr>
        <w:spacing w:after="200"/>
        <w:jc w:val="center"/>
      </w:pPr>
      <w:r>
        <w:rPr>
          <w:rFonts w:ascii="Arial" w:cs="Arial" w:eastAsia="Arial" w:hAnsi="Arial"/>
          <w:color w:val="D4AF37"/>
          <w:sz w:val="24"/>
          <w:szCs w:val="24"/>
        </w:rPr>
        <w:t xml:space="preserve">CQC Compliance Templates</w:t>
      </w:r>
    </w:p>
    <w:p>
      <w:pPr>
        <w:pBdr>
          <w:bottom w:val="single" w:color="0B1D3A" w:sz="6" w:space="1"/>
        </w:pBdr>
        <w:spacing w:after="100" w:before="100"/>
      </w:pPr>
    </w:p>
    <w:p>
      <w:pPr>
        <w:spacing w:after="0" w:before="400"/>
      </w:pPr>
    </w:p>
    <w:p>
      <w:pPr>
        <w:spacing w:after="60"/>
        <w:jc w:val="center"/>
      </w:pPr>
      <w:r>
        <w:rPr>
          <w:rFonts w:ascii="Arial" w:cs="Arial" w:eastAsia="Arial" w:hAnsi="Arial"/>
          <w:b/>
          <w:bCs/>
          <w:color w:val="D4AF37"/>
          <w:sz w:val="28"/>
          <w:szCs w:val="28"/>
        </w:rPr>
        <w:t xml:space="preserve">RISK ASSESSMENT</w:t>
      </w:r>
    </w:p>
    <w:p>
      <w:pPr>
        <w:spacing w:after="100"/>
        <w:jc w:val="center"/>
      </w:pPr>
      <w:r>
        <w:rPr>
          <w:rFonts w:ascii="Arial" w:cs="Arial" w:eastAsia="Arial" w:hAnsi="Arial"/>
          <w:b/>
          <w:bCs/>
          <w:color w:val="0B1D3A"/>
          <w:sz w:val="38"/>
          <w:szCs w:val="38"/>
        </w:rPr>
        <w:t xml:space="preserve">Manual Handling
Risk Assessment</w:t>
      </w:r>
    </w:p>
    <w:p>
      <w:pPr>
        <w:spacing w:after="100"/>
        <w:jc w:val="center"/>
      </w:pPr>
      <w:r>
        <w:rPr>
          <w:rFonts w:ascii="Arial" w:cs="Arial" w:eastAsia="Arial" w:hAnsi="Arial"/>
          <w:color w:val="999999"/>
          <w:sz w:val="24"/>
          <w:szCs w:val="24"/>
        </w:rPr>
        <w:t xml:space="preserve">For CQC-Registered Private Health Clinics</w:t>
      </w:r>
    </w:p>
    <w:p>
      <w:pPr>
        <w:pBdr>
          <w:bottom w:val="single" w:color="0B1D3A" w:sz="6" w:space="1"/>
        </w:pBdr>
        <w:spacing w:after="100" w:before="100"/>
      </w:pPr>
    </w:p>
    <w:p>
      <w:pPr>
        <w:spacing w:after="0" w:before="200"/>
      </w:pPr>
    </w:p>
    <w:p>
      <w:pPr>
        <w:jc w:val="center"/>
      </w:pPr>
      <w:r>
        <w:rPr>
          <w:rFonts w:ascii="Arial" w:cs="Arial" w:eastAsia="Arial" w:hAnsi="Arial"/>
          <w:b/>
          <w:bCs/>
          <w:color w:val="D4AF37"/>
          <w:sz w:val="24"/>
          <w:szCs w:val="24"/>
        </w:rPr>
        <w:t xml:space="preserve">Private Health Clinic Sector</w:t>
      </w:r>
    </w:p>
    <w:p>
      <w:pPr>
        <w:spacing w:after="0" w:before="100"/>
      </w:pPr>
    </w:p>
    <w:p>
      <w:pPr>
        <w:jc w:val="center"/>
      </w:pPr>
      <w:r>
        <w:rPr>
          <w:rFonts w:ascii="Arial" w:cs="Arial" w:eastAsia="Arial" w:hAnsi="Arial"/>
          <w:color w:val="999999"/>
          <w:sz w:val="20"/>
          <w:szCs w:val="20"/>
        </w:rPr>
        <w:t xml:space="preserve">Document Reference: BS-PHC-RA-MH-004</w:t>
      </w:r>
    </w:p>
    <w:p>
      <w:pPr>
        <w:jc w:val="center"/>
      </w:pPr>
      <w:r>
        <w:rPr>
          <w:rFonts w:ascii="Arial" w:cs="Arial" w:eastAsia="Arial" w:hAnsi="Arial"/>
          <w:color w:val="999999"/>
          <w:sz w:val="20"/>
          <w:szCs w:val="20"/>
        </w:rPr>
        <w:t xml:space="preserve">Version 1.0</w:t>
      </w:r>
    </w:p>
    <w:p>
      <w:pPr>
        <w:spacing w:after="0" w:before="600"/>
      </w:pPr>
    </w:p>
    <w:p>
      <w:pPr>
        <w:spacing w:after="40"/>
        <w:jc w:val="center"/>
      </w:pPr>
      <w:r>
        <w:rPr>
          <w:rFonts w:ascii="Arial" w:cs="Arial" w:eastAsia="Arial" w:hAnsi="Arial"/>
          <w:b/>
          <w:bCs/>
          <w:color w:val="0B1D3A"/>
          <w:sz w:val="28"/>
          <w:szCs w:val="28"/>
        </w:rPr>
        <w:t xml:space="preserve">[Insert Organisation Name]</w:t>
      </w:r>
    </w:p>
    <w:p>
      <w:pPr>
        <w:spacing w:after="0" w:before="400"/>
      </w:pPr>
    </w:p>
    <w:p>
      <w:pPr>
        <w:pBdr>
          <w:top w:val="single" w:color="D4AF37" w:sz="2" w:space="8"/>
        </w:pBdr>
        <w:spacing w:before="200"/>
        <w:jc w:val="center"/>
      </w:pPr>
      <w:r>
        <w:rPr>
          <w:rFonts w:ascii="Arial" w:cs="Arial" w:eastAsia="Arial" w:hAnsi="Arial"/>
          <w:i/>
          <w:iCs/>
          <w:color w:val="999999"/>
          <w:sz w:val="18"/>
          <w:szCs w:val="18"/>
        </w:rPr>
        <w:t xml:space="preserve">CONFIDENTIAL – FOR INTERNAL USE ONLY</w:t>
      </w:r>
    </w:p>
    <w:p>
      <w:r>
        <w:br w:type="page"/>
      </w:r>
    </w:p>
    <w:p>
      <w:pPr>
        <w:pStyle w:val="Heading1"/>
      </w:pPr>
      <w:r>
        <w:rPr>
          <w:rFonts w:ascii="Arial" w:cs="Arial" w:eastAsia="Arial" w:hAnsi="Arial"/>
          <w:b/>
          <w:bCs/>
          <w:color w:val="0B1D3A"/>
          <w:sz w:val="28"/>
          <w:szCs w:val="28"/>
        </w:rPr>
        <w:t xml:space="preserve">Document Control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Document Title: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Manual Handling
Risk Assessment</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Document Reference: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BS-PHC-RA-MH-004</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Version:</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Date of Issue: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Review Date: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 + 12 Months]</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Assessor:</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 / Role]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Approved By:</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 / Governance Lead]</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Organisation:</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Organisation Name]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Location / Site: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Clinic Address]</w:t>
            </w:r>
          </w:p>
        </w:tc>
      </w:tr>
    </w:tbl>
    <w:p>
      <w:pPr>
        <w:spacing w:after="0" w:before="200"/>
      </w:pPr>
    </w:p>
    <w:p>
      <w:pPr>
        <w:pStyle w:val="Heading1"/>
      </w:pPr>
      <w:r>
        <w:rPr>
          <w:rFonts w:ascii="Arial" w:cs="Arial" w:eastAsia="Arial" w:hAnsi="Arial"/>
          <w:b/>
          <w:bCs/>
          <w:color w:val="0B1D3A"/>
          <w:sz w:val="28"/>
          <w:szCs w:val="28"/>
        </w:rPr>
        <w:t xml:space="preserve">1. Purpose</w:t>
      </w:r>
    </w:p>
    <w:p>
      <w:pPr>
        <w:spacing w:after="120"/>
        <w:jc w:val="both"/>
      </w:pPr>
      <w:r>
        <w:rPr>
          <w:rFonts w:ascii="Arial" w:cs="Arial" w:eastAsia="Arial" w:hAnsi="Arial"/>
          <w:color w:val="333333"/>
          <w:sz w:val="22"/>
          <w:szCs w:val="22"/>
        </w:rPr>
        <w:t xml:space="preserve">This risk assessment identifies manual handling hazards within [Insert Organisation Name] and establishes control measures to prevent musculoskeletal injuries to staff and ensure patient safety during assisted transfers. It ensures compliance with the Manual Handling Operations Regulations 1992 (as amended), the Health and Safety at Work etc. Act 1974, and Regulation 12 of the Health and Social Care Act 2008 (Regulated Activities) Regulations 2014.</w:t>
      </w:r>
    </w:p>
    <w:p>
      <w:pPr>
        <w:pStyle w:val="Heading1"/>
      </w:pPr>
      <w:r>
        <w:rPr>
          <w:rFonts w:ascii="Arial" w:cs="Arial" w:eastAsia="Arial" w:hAnsi="Arial"/>
          <w:b/>
          <w:bCs/>
          <w:color w:val="0B1D3A"/>
          <w:sz w:val="28"/>
          <w:szCs w:val="28"/>
        </w:rPr>
        <w:t xml:space="preserve">2. Scope</w:t>
      </w:r>
    </w:p>
    <w:p>
      <w:pPr>
        <w:spacing w:after="120"/>
        <w:jc w:val="both"/>
      </w:pPr>
      <w:r>
        <w:rPr>
          <w:rFonts w:ascii="Arial" w:cs="Arial" w:eastAsia="Arial" w:hAnsi="Arial"/>
          <w:color w:val="333333"/>
          <w:sz w:val="22"/>
          <w:szCs w:val="22"/>
        </w:rPr>
        <w:t xml:space="preserve">This assessment covers all manual handling activities undertaken by employees, including patient handling and assisted transfers, movement of medical equipment and supplies, handling of clinical waste and laundry, receipt and storage of deliveries, and office-based manual handling tasks.</w:t>
      </w:r>
    </w:p>
    <w:p>
      <w:pPr>
        <w:pStyle w:val="Heading1"/>
      </w:pPr>
      <w:r>
        <w:rPr>
          <w:rFonts w:ascii="Arial" w:cs="Arial" w:eastAsia="Arial" w:hAnsi="Arial"/>
          <w:b/>
          <w:bCs/>
          <w:color w:val="0B1D3A"/>
          <w:sz w:val="28"/>
          <w:szCs w:val="28"/>
        </w:rPr>
        <w:t xml:space="preserve">3. TILEO Assessment Framework</w:t>
      </w:r>
    </w:p>
    <w:p>
      <w:pPr>
        <w:spacing w:after="120"/>
        <w:jc w:val="both"/>
      </w:pPr>
      <w:r>
        <w:rPr>
          <w:rFonts w:ascii="Arial" w:cs="Arial" w:eastAsia="Arial" w:hAnsi="Arial"/>
          <w:color w:val="333333"/>
          <w:sz w:val="22"/>
          <w:szCs w:val="22"/>
        </w:rPr>
        <w:t xml:space="preserve">Each manual handling activity has been assessed using the TILEO framework: Task (what is being done), Individual (capability and training of the handler), Load (weight, size, stability), Environment (space, flooring, lighting), and Other factors (PPE, time constraints, team handling).</w:t>
      </w:r>
    </w:p>
    <w:p>
      <w:r>
        <w:br w:type="page"/>
      </w:r>
    </w:p>
    <w:p>
      <w:pPr>
        <w:pStyle w:val="Heading1"/>
      </w:pPr>
      <w:r>
        <w:rPr>
          <w:rFonts w:ascii="Arial" w:cs="Arial" w:eastAsia="Arial" w:hAnsi="Arial"/>
          <w:b/>
          <w:bCs/>
          <w:color w:val="0B1D3A"/>
          <w:sz w:val="28"/>
          <w:szCs w:val="28"/>
        </w:rPr>
        <w:t xml:space="preserve">Risk Assessment Matrix</w:t>
      </w:r>
    </w:p>
    <w:p>
      <w:pPr>
        <w:spacing w:after="120"/>
        <w:jc w:val="both"/>
      </w:pPr>
      <w:r>
        <w:rPr>
          <w:rFonts w:ascii="Arial" w:cs="Arial" w:eastAsia="Arial" w:hAnsi="Arial"/>
          <w:color w:val="333333"/>
          <w:sz w:val="22"/>
          <w:szCs w:val="22"/>
        </w:rPr>
        <w:t xml:space="preserve">Risk is calculated as Likelihood × Severity using the 5×5 risk matrix below. Initial risk is assessed before additional controls; residual risk is the rating after implementation of all additional control measures.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45"/>
        <w:gridCol w:w="1445"/>
        <w:gridCol w:w="1445"/>
        <w:gridCol w:w="1445"/>
        <w:gridCol w:w="1445"/>
      </w:tblGrid>
      <w:tr>
        <w:tc>
          <w:tcPr>
            <w:tcW w:type="dxa" w:w="18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Likelihood ↓ / Severity →</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1
Negligible</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2
Minor</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3
Moderate</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4
Major</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5
Catastrophic</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5 – Almost Certain</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5</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10</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20</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25</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4 – Likely</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12</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16</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20</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3 – Possible</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3</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6</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9</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12</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2 – Unlikely</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2</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6</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10</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 – Rare</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1</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2</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3</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5</w:t>
            </w:r>
          </w:p>
        </w:tc>
      </w:tr>
    </w:tbl>
    <w:p>
      <w:pPr>
        <w:spacing w:after="0" w:before="160"/>
      </w:pPr>
    </w:p>
    <w:p>
      <w:pPr>
        <w:pStyle w:val="Heading2"/>
      </w:pPr>
      <w:r>
        <w:rPr>
          <w:rFonts w:ascii="Arial" w:cs="Arial" w:eastAsia="Arial" w:hAnsi="Arial"/>
          <w:b/>
          <w:bCs/>
          <w:color w:val="0B1D3A"/>
          <w:sz w:val="24"/>
          <w:szCs w:val="24"/>
        </w:rPr>
        <w:t xml:space="preserve">Risk Rating Action Key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Score</w:t>
            </w:r>
          </w:p>
        </w:tc>
        <w:tc>
          <w:tcPr>
            <w:tcW w:type="dxa" w:w="25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Rating</w:t>
            </w:r>
          </w:p>
        </w:tc>
        <w:tc>
          <w:tcPr>
            <w:tcW w:type="dxa" w:w="50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Required Action</w:t>
            </w:r>
          </w:p>
        </w:tc>
      </w:tr>
      <w:tr>
        <w:tc>
          <w:tcPr>
            <w:tcW w:type="dxa" w:w="15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15–25</w:t>
            </w:r>
          </w:p>
        </w:tc>
        <w:tc>
          <w:tcPr>
            <w:tcW w:type="dxa" w:w="25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left"/>
            </w:pPr>
            <w:r>
              <w:rPr>
                <w:rFonts w:ascii="Arial" w:cs="Arial" w:eastAsia="Arial" w:hAnsi="Arial"/>
                <w:b/>
                <w:bCs/>
                <w:color w:val="C0392B"/>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Immediate action required. Escalate to Registered Manager and Clinical Lead. Consider suspending activity until controls are implemented.</w:t>
            </w:r>
          </w:p>
        </w:tc>
      </w:tr>
      <w:tr>
        <w:tc>
          <w:tcPr>
            <w:tcW w:type="dxa" w:w="15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8–12</w:t>
            </w:r>
          </w:p>
        </w:tc>
        <w:tc>
          <w:tcPr>
            <w:tcW w:type="dxa" w:w="25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left"/>
            </w:pPr>
            <w:r>
              <w:rPr>
                <w:rFonts w:ascii="Arial" w:cs="Arial" w:eastAsia="Arial" w:hAnsi="Arial"/>
                <w:b/>
                <w:bCs/>
                <w:color w:val="D35400"/>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Action required within defined timescale. Implement additional controls and monitor. Report to governance meeting.</w:t>
            </w:r>
          </w:p>
        </w:tc>
      </w:tr>
      <w:tr>
        <w:tc>
          <w:tcPr>
            <w:tcW w:type="dxa" w:w="15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4–6</w:t>
            </w:r>
          </w:p>
        </w:tc>
        <w:tc>
          <w:tcPr>
            <w:tcW w:type="dxa" w:w="25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left"/>
            </w:pPr>
            <w:r>
              <w:rPr>
                <w:rFonts w:ascii="Arial" w:cs="Arial" w:eastAsia="Arial" w:hAnsi="Arial"/>
                <w:b/>
                <w:bCs/>
                <w:color w:val="7D6608"/>
                <w:sz w:val="20"/>
                <w:szCs w:val="20"/>
              </w:rPr>
              <w:t xml:space="preserve">LOW</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Manage by routine procedures and existing controls. Monitor for change. Review at scheduled intervals.</w:t>
            </w:r>
          </w:p>
        </w:tc>
      </w:tr>
      <w:tr>
        <w:tc>
          <w:tcPr>
            <w:tcW w:type="dxa" w:w="150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1–3</w:t>
            </w:r>
          </w:p>
        </w:tc>
        <w:tc>
          <w:tcPr>
            <w:tcW w:type="dxa" w:w="250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left"/>
            </w:pPr>
            <w:r>
              <w:rPr>
                <w:rFonts w:ascii="Arial" w:cs="Arial" w:eastAsia="Arial" w:hAnsi="Arial"/>
                <w:b/>
                <w:bCs/>
                <w:color w:val="1E8449"/>
                <w:sz w:val="20"/>
                <w:szCs w:val="20"/>
              </w:rPr>
              <w:t xml:space="preserve">VERY LOW</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No additional action required. Maintain current controls. Include in routine review cycle.</w:t>
            </w:r>
          </w:p>
        </w:tc>
      </w:tr>
    </w:tbl>
    <w:p>
      <w:pPr>
        <w:spacing w:after="0" w:before="200"/>
      </w:pPr>
    </w:p>
    <w:p>
      <w:r>
        <w:br w:type="page"/>
      </w:r>
    </w:p>
    <w:p>
      <w:pPr>
        <w:pStyle w:val="Heading1"/>
      </w:pPr>
      <w:r>
        <w:rPr>
          <w:rFonts w:ascii="Arial" w:cs="Arial" w:eastAsia="Arial" w:hAnsi="Arial"/>
          <w:b/>
          <w:bCs/>
          <w:color w:val="0B1D3A"/>
          <w:sz w:val="28"/>
          <w:szCs w:val="28"/>
        </w:rPr>
        <w:t xml:space="preserve">Hazard Identification and Risk Register</w:t>
      </w:r>
    </w:p>
    <w:p>
      <w:pPr>
        <w:spacing w:after="120"/>
        <w:jc w:val="both"/>
      </w:pPr>
      <w:r>
        <w:rPr>
          <w:rFonts w:ascii="Arial" w:cs="Arial" w:eastAsia="Arial" w:hAnsi="Arial"/>
          <w:color w:val="333333"/>
          <w:sz w:val="22"/>
          <w:szCs w:val="22"/>
        </w:rPr>
        <w:t xml:space="preserve">L = Likelihood (1–5) | S = Severity (1–5) | Risk = L × S. Existing controls are currently in place; additional controls are recommended actions to reduce residual risk.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700"/>
        <w:gridCol w:w="1700"/>
        <w:gridCol w:w="400"/>
        <w:gridCol w:w="400"/>
        <w:gridCol w:w="450"/>
        <w:gridCol w:w="1700"/>
        <w:gridCol w:w="400"/>
        <w:gridCol w:w="400"/>
        <w:gridCol w:w="450"/>
        <w:gridCol w:w="926"/>
      </w:tblGrid>
      <w:tr>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Ref</w:t>
            </w:r>
          </w:p>
        </w:tc>
        <w:tc>
          <w:tcPr>
            <w:tcW w:type="dxa" w:w="11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Hazard / Risk</w:t>
            </w:r>
          </w:p>
        </w:tc>
        <w:tc>
          <w:tcPr>
            <w:tcW w:type="dxa" w:w="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Who is at Risk</w:t>
            </w:r>
          </w:p>
        </w:tc>
        <w:tc>
          <w:tcPr>
            <w:tcW w:type="dxa" w:w="1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Existing Control Measures</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w:t>
            </w:r>
          </w:p>
        </w:tc>
        <w:tc>
          <w:tcPr>
            <w:tcW w:type="dxa" w:w="45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Risk</w:t>
            </w:r>
          </w:p>
        </w:tc>
        <w:tc>
          <w:tcPr>
            <w:tcW w:type="dxa" w:w="1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Additional Control Measures Required</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w:t>
            </w:r>
          </w:p>
        </w:tc>
        <w:tc>
          <w:tcPr>
            <w:tcW w:type="dxa" w:w="45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Risk</w:t>
            </w:r>
          </w:p>
        </w:tc>
        <w:tc>
          <w:tcPr>
            <w:tcW w:type="dxa" w:w="9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Owner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4.1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Assisting patients with reduced mobility to transfer (bed, chair, trolley)</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Clinical 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Individual patient mobility assessment</w:t>
            </w:r>
          </w:p>
          <w:p>
            <w:pPr>
              <w:spacing w:after="40"/>
              <w:jc w:val="left"/>
            </w:pPr>
            <w:r>
              <w:rPr>
                <w:rFonts w:ascii="Arial" w:cs="Arial" w:eastAsia="Arial" w:hAnsi="Arial"/>
                <w:b w:val="false"/>
                <w:bCs w:val="false"/>
                <w:color w:val="333333"/>
                <w:sz w:val="16"/>
                <w:szCs w:val="16"/>
              </w:rPr>
              <w:t xml:space="preserve">Manual handling aids available (slide sheets, transfer boards)</w:t>
            </w:r>
          </w:p>
          <w:p>
            <w:pPr>
              <w:spacing w:after="0"/>
              <w:jc w:val="left"/>
            </w:pPr>
            <w:r>
              <w:rPr>
                <w:rFonts w:ascii="Arial" w:cs="Arial" w:eastAsia="Arial" w:hAnsi="Arial"/>
                <w:b w:val="false"/>
                <w:bCs w:val="false"/>
                <w:color w:val="333333"/>
                <w:sz w:val="16"/>
                <w:szCs w:val="16"/>
              </w:rPr>
              <w:t xml:space="preserve">Two-person assist protocol for high-dependency patients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12</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Annual manual handling training refresher (practical)</w:t>
            </w:r>
          </w:p>
          <w:p>
            <w:pPr>
              <w:spacing w:after="40"/>
              <w:jc w:val="left"/>
            </w:pPr>
            <w:r>
              <w:rPr>
                <w:rFonts w:ascii="Arial" w:cs="Arial" w:eastAsia="Arial" w:hAnsi="Arial"/>
                <w:b w:val="false"/>
                <w:bCs w:val="false"/>
                <w:color w:val="333333"/>
                <w:sz w:val="16"/>
                <w:szCs w:val="16"/>
              </w:rPr>
              <w:t xml:space="preserve">Patient handling care plans documented</w:t>
            </w:r>
          </w:p>
          <w:p>
            <w:pPr>
              <w:spacing w:after="0"/>
              <w:jc w:val="left"/>
            </w:pPr>
            <w:r>
              <w:rPr>
                <w:rFonts w:ascii="Arial" w:cs="Arial" w:eastAsia="Arial" w:hAnsi="Arial"/>
                <w:b w:val="false"/>
                <w:bCs w:val="false"/>
                <w:color w:val="333333"/>
                <w:sz w:val="16"/>
                <w:szCs w:val="16"/>
              </w:rPr>
              <w:t xml:space="preserve">Equipment checks monthly (hoists, slide sheets)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Clinical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4.2</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Moving heavy medical equipment (examination couches, imaging equipment)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Equipment on wheels/castors where possible</w:t>
            </w:r>
          </w:p>
          <w:p>
            <w:pPr>
              <w:spacing w:after="40"/>
              <w:jc w:val="left"/>
            </w:pPr>
            <w:r>
              <w:rPr>
                <w:rFonts w:ascii="Arial" w:cs="Arial" w:eastAsia="Arial" w:hAnsi="Arial"/>
                <w:b w:val="false"/>
                <w:bCs w:val="false"/>
                <w:color w:val="333333"/>
                <w:sz w:val="16"/>
                <w:szCs w:val="16"/>
              </w:rPr>
              <w:t xml:space="preserve">Team lifting for items &gt;25kg</w:t>
            </w:r>
          </w:p>
          <w:p>
            <w:pPr>
              <w:spacing w:after="0"/>
              <w:jc w:val="left"/>
            </w:pPr>
            <w:r>
              <w:rPr>
                <w:rFonts w:ascii="Arial" w:cs="Arial" w:eastAsia="Arial" w:hAnsi="Arial"/>
                <w:b w:val="false"/>
                <w:bCs w:val="false"/>
                <w:color w:val="333333"/>
                <w:sz w:val="16"/>
                <w:szCs w:val="16"/>
              </w:rPr>
              <w:t xml:space="preserve">Manual handling risk assessment before new equipment purchase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9</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Equipment relocation procedure documented</w:t>
            </w:r>
          </w:p>
          <w:p>
            <w:pPr>
              <w:spacing w:after="40"/>
              <w:jc w:val="left"/>
            </w:pPr>
            <w:r>
              <w:rPr>
                <w:rFonts w:ascii="Arial" w:cs="Arial" w:eastAsia="Arial" w:hAnsi="Arial"/>
                <w:b w:val="false"/>
                <w:bCs w:val="false"/>
                <w:color w:val="333333"/>
                <w:sz w:val="16"/>
                <w:szCs w:val="16"/>
              </w:rPr>
              <w:t xml:space="preserve">Mechanical aids (trolleys, lifters) available</w:t>
            </w:r>
          </w:p>
          <w:p>
            <w:pPr>
              <w:spacing w:after="0"/>
              <w:jc w:val="left"/>
            </w:pPr>
            <w:r>
              <w:rPr>
                <w:rFonts w:ascii="Arial" w:cs="Arial" w:eastAsia="Arial" w:hAnsi="Arial"/>
                <w:b w:val="false"/>
                <w:bCs w:val="false"/>
                <w:color w:val="333333"/>
                <w:sz w:val="16"/>
                <w:szCs w:val="16"/>
              </w:rPr>
              <w:t xml:space="preserve">Competency assessment for specialist equipment moves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6</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Facilities Mgr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4.3</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Handling and transporting clinical waste bags and sharps containers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Clinical and Domestic 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Waste bags not filled beyond two-thirds</w:t>
            </w:r>
          </w:p>
          <w:p>
            <w:pPr>
              <w:spacing w:after="40"/>
              <w:jc w:val="left"/>
            </w:pPr>
            <w:r>
              <w:rPr>
                <w:rFonts w:ascii="Arial" w:cs="Arial" w:eastAsia="Arial" w:hAnsi="Arial"/>
                <w:b w:val="false"/>
                <w:bCs w:val="false"/>
                <w:color w:val="333333"/>
                <w:sz w:val="16"/>
                <w:szCs w:val="16"/>
              </w:rPr>
              <w:t xml:space="preserve">Sharps containers sealed before transport</w:t>
            </w:r>
          </w:p>
          <w:p>
            <w:pPr>
              <w:spacing w:after="0"/>
              <w:jc w:val="left"/>
            </w:pPr>
            <w:r>
              <w:rPr>
                <w:rFonts w:ascii="Arial" w:cs="Arial" w:eastAsia="Arial" w:hAnsi="Arial"/>
                <w:b w:val="false"/>
                <w:bCs w:val="false"/>
                <w:color w:val="333333"/>
                <w:sz w:val="16"/>
                <w:szCs w:val="16"/>
              </w:rPr>
              <w:t xml:space="preserve">Waste trolley/sack holder provided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9</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Waste handling included in manual handling training</w:t>
            </w:r>
          </w:p>
          <w:p>
            <w:pPr>
              <w:spacing w:after="40"/>
              <w:jc w:val="left"/>
            </w:pPr>
            <w:r>
              <w:rPr>
                <w:rFonts w:ascii="Arial" w:cs="Arial" w:eastAsia="Arial" w:hAnsi="Arial"/>
                <w:b w:val="false"/>
                <w:bCs w:val="false"/>
                <w:color w:val="333333"/>
                <w:sz w:val="16"/>
                <w:szCs w:val="16"/>
              </w:rPr>
              <w:t xml:space="preserve">Route risk assessment for waste transport</w:t>
            </w:r>
          </w:p>
          <w:p>
            <w:pPr>
              <w:spacing w:after="0"/>
              <w:jc w:val="left"/>
            </w:pPr>
            <w:r>
              <w:rPr>
                <w:rFonts w:ascii="Arial" w:cs="Arial" w:eastAsia="Arial" w:hAnsi="Arial"/>
                <w:b w:val="false"/>
                <w:bCs w:val="false"/>
                <w:color w:val="333333"/>
                <w:sz w:val="16"/>
                <w:szCs w:val="16"/>
              </w:rPr>
              <w:t xml:space="preserve">Gloves and aprons for all waste handling</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6</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IPC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4.4</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Receipt and storage of deliveries (medicines, consumables, oxygen cylinders)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Staff receiving deliveries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Designated delivery area at ground level</w:t>
            </w:r>
          </w:p>
          <w:p>
            <w:pPr>
              <w:spacing w:after="40"/>
              <w:jc w:val="left"/>
            </w:pPr>
            <w:r>
              <w:rPr>
                <w:rFonts w:ascii="Arial" w:cs="Arial" w:eastAsia="Arial" w:hAnsi="Arial"/>
                <w:b w:val="false"/>
                <w:bCs w:val="false"/>
                <w:color w:val="333333"/>
                <w:sz w:val="16"/>
                <w:szCs w:val="16"/>
              </w:rPr>
              <w:t xml:space="preserve">Two-person lift for heavy items</w:t>
            </w:r>
          </w:p>
          <w:p>
            <w:pPr>
              <w:spacing w:after="0"/>
              <w:jc w:val="left"/>
            </w:pPr>
            <w:r>
              <w:rPr>
                <w:rFonts w:ascii="Arial" w:cs="Arial" w:eastAsia="Arial" w:hAnsi="Arial"/>
                <w:b w:val="false"/>
                <w:bCs w:val="false"/>
                <w:color w:val="333333"/>
                <w:sz w:val="16"/>
                <w:szCs w:val="16"/>
              </w:rPr>
              <w:t xml:space="preserve">Oxygen cylinders transported on trolley per HTM 02-01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6</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Delivery protocol documented and briefed</w:t>
            </w:r>
          </w:p>
          <w:p>
            <w:pPr>
              <w:spacing w:after="40"/>
              <w:jc w:val="left"/>
            </w:pPr>
            <w:r>
              <w:rPr>
                <w:rFonts w:ascii="Arial" w:cs="Arial" w:eastAsia="Arial" w:hAnsi="Arial"/>
                <w:b w:val="false"/>
                <w:bCs w:val="false"/>
                <w:color w:val="333333"/>
                <w:sz w:val="16"/>
                <w:szCs w:val="16"/>
              </w:rPr>
              <w:t xml:space="preserve">Storage areas organised to avoid high-level lifting</w:t>
            </w:r>
          </w:p>
          <w:p>
            <w:pPr>
              <w:spacing w:after="0"/>
              <w:jc w:val="left"/>
            </w:pPr>
            <w:r>
              <w:rPr>
                <w:rFonts w:ascii="Arial" w:cs="Arial" w:eastAsia="Arial" w:hAnsi="Arial"/>
                <w:b w:val="false"/>
                <w:bCs w:val="false"/>
                <w:color w:val="333333"/>
                <w:sz w:val="16"/>
                <w:szCs w:val="16"/>
              </w:rPr>
              <w:t xml:space="preserve">Mechanical aids available at delivery point</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16"/>
                <w:szCs w:val="16"/>
              </w:rPr>
              <w:t xml:space="preserve">3</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Facilities Mgr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4.5</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Repetitive tasks: prolonged static posture during clinical procedures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Clinicians, Admin 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Adjustable-height examination couches and chairs</w:t>
            </w:r>
          </w:p>
          <w:p>
            <w:pPr>
              <w:spacing w:after="40"/>
              <w:jc w:val="left"/>
            </w:pPr>
            <w:r>
              <w:rPr>
                <w:rFonts w:ascii="Arial" w:cs="Arial" w:eastAsia="Arial" w:hAnsi="Arial"/>
                <w:b w:val="false"/>
                <w:bCs w:val="false"/>
                <w:color w:val="333333"/>
                <w:sz w:val="16"/>
                <w:szCs w:val="16"/>
              </w:rPr>
              <w:t xml:space="preserve">DSE assessment for office-based staff</w:t>
            </w:r>
          </w:p>
          <w:p>
            <w:pPr>
              <w:spacing w:after="0"/>
              <w:jc w:val="left"/>
            </w:pPr>
            <w:r>
              <w:rPr>
                <w:rFonts w:ascii="Arial" w:cs="Arial" w:eastAsia="Arial" w:hAnsi="Arial"/>
                <w:b w:val="false"/>
                <w:bCs w:val="false"/>
                <w:color w:val="333333"/>
                <w:sz w:val="16"/>
                <w:szCs w:val="16"/>
              </w:rPr>
              <w:t xml:space="preserve">Breaks encouraged during long procedures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9</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Ergonomic workstation audit annually</w:t>
            </w:r>
          </w:p>
          <w:p>
            <w:pPr>
              <w:spacing w:after="40"/>
              <w:jc w:val="left"/>
            </w:pPr>
            <w:r>
              <w:rPr>
                <w:rFonts w:ascii="Arial" w:cs="Arial" w:eastAsia="Arial" w:hAnsi="Arial"/>
                <w:b w:val="false"/>
                <w:bCs w:val="false"/>
                <w:color w:val="333333"/>
                <w:sz w:val="16"/>
                <w:szCs w:val="16"/>
              </w:rPr>
              <w:t xml:space="preserve">Access to occupational health for MSK concerns</w:t>
            </w:r>
          </w:p>
          <w:p>
            <w:pPr>
              <w:spacing w:after="0"/>
              <w:jc w:val="left"/>
            </w:pPr>
            <w:r>
              <w:rPr>
                <w:rFonts w:ascii="Arial" w:cs="Arial" w:eastAsia="Arial" w:hAnsi="Arial"/>
                <w:b w:val="false"/>
                <w:bCs w:val="false"/>
                <w:color w:val="333333"/>
                <w:sz w:val="16"/>
                <w:szCs w:val="16"/>
              </w:rPr>
              <w:t xml:space="preserve">Posture awareness included in induction</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6</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H&amp;S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4.6</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Collapsed or falling patient requiring emergency floor-level handling</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Clinical Staff, Patients</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Emergency response training includes patient handling</w:t>
            </w:r>
          </w:p>
          <w:p>
            <w:pPr>
              <w:spacing w:after="40"/>
              <w:jc w:val="left"/>
            </w:pPr>
            <w:r>
              <w:rPr>
                <w:rFonts w:ascii="Arial" w:cs="Arial" w:eastAsia="Arial" w:hAnsi="Arial"/>
                <w:b w:val="false"/>
                <w:bCs w:val="false"/>
                <w:color w:val="333333"/>
                <w:sz w:val="16"/>
                <w:szCs w:val="16"/>
              </w:rPr>
              <w:t xml:space="preserve">First aid trained staff on each shift</w:t>
            </w:r>
          </w:p>
          <w:p>
            <w:pPr>
              <w:spacing w:after="0"/>
              <w:jc w:val="left"/>
            </w:pPr>
            <w:r>
              <w:rPr>
                <w:rFonts w:ascii="Arial" w:cs="Arial" w:eastAsia="Arial" w:hAnsi="Arial"/>
                <w:b w:val="false"/>
                <w:bCs w:val="false"/>
                <w:color w:val="333333"/>
                <w:sz w:val="16"/>
                <w:szCs w:val="16"/>
              </w:rPr>
              <w:t xml:space="preserve">Emergency grab handles and call system</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Annual emergency scenario drill including floor lift</w:t>
            </w:r>
          </w:p>
          <w:p>
            <w:pPr>
              <w:spacing w:after="40"/>
              <w:jc w:val="left"/>
            </w:pPr>
            <w:r>
              <w:rPr>
                <w:rFonts w:ascii="Arial" w:cs="Arial" w:eastAsia="Arial" w:hAnsi="Arial"/>
                <w:b w:val="false"/>
                <w:bCs w:val="false"/>
                <w:color w:val="333333"/>
                <w:sz w:val="16"/>
                <w:szCs w:val="16"/>
              </w:rPr>
              <w:t xml:space="preserve">Hover-mat or inflatable lifting cushion available</w:t>
            </w:r>
          </w:p>
          <w:p>
            <w:pPr>
              <w:spacing w:after="0"/>
              <w:jc w:val="left"/>
            </w:pPr>
            <w:r>
              <w:rPr>
                <w:rFonts w:ascii="Arial" w:cs="Arial" w:eastAsia="Arial" w:hAnsi="Arial"/>
                <w:b w:val="false"/>
                <w:bCs w:val="false"/>
                <w:color w:val="333333"/>
                <w:sz w:val="16"/>
                <w:szCs w:val="16"/>
              </w:rPr>
              <w:t xml:space="preserve">Post-incident debrief and report</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4</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Clinical Lead</w:t>
            </w:r>
          </w:p>
        </w:tc>
      </w:tr>
    </w:tbl>
    <w:p>
      <w:pPr>
        <w:spacing w:after="0" w:before="200"/>
      </w:pPr>
    </w:p>
    <w:p>
      <w:r>
        <w:br w:type="page"/>
      </w:r>
    </w:p>
    <w:p>
      <w:pPr>
        <w:pStyle w:val="Heading1"/>
      </w:pPr>
      <w:r>
        <w:rPr>
          <w:rFonts w:ascii="Arial" w:cs="Arial" w:eastAsia="Arial" w:hAnsi="Arial"/>
          <w:b/>
          <w:bCs/>
          <w:color w:val="0B1D3A"/>
          <w:sz w:val="28"/>
          <w:szCs w:val="28"/>
        </w:rPr>
        <w:t xml:space="preserve">Applicable Legislation and Regulatory Framework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Legislation / Regulation</w:t>
            </w:r>
          </w:p>
        </w:tc>
        <w:tc>
          <w:tcPr>
            <w:tcW w:type="dxa" w:w="4513"/>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Relevance</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Manual Handling Operations Regulations 1992 (as amended)</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Duty to assess, avoid, and reduce manual handling risks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Health and Safety at Work etc. Act 1974</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General duty of care to employees and others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Management of Health and Safety at Work Regulations 1999</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Risk assessment and competent person requirements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Provision and Use of Work Equipment Regulations 1998 (PUWER)</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Safe provision and maintenance of handling equipment</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Lifting Operations and Lifting Equipment Regulations 1998 (LOLER)</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Examination and testing of hoists and lifting aids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Health and Safety (Display Screen Equipment) Regulations 1992</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Workstation ergonomic assessment</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Reporting of Injuries, Diseases and Dangerous Occurrences Regulations 2013 (RIDDOR)</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Reporting of manual handling injuries</w:t>
            </w:r>
          </w:p>
        </w:tc>
      </w:tr>
    </w:tbl>
    <w:p>
      <w:pPr>
        <w:spacing w:after="0" w:before="200"/>
      </w:pPr>
    </w:p>
    <w:p>
      <w:pPr>
        <w:pStyle w:val="Heading1"/>
      </w:pPr>
      <w:r>
        <w:rPr>
          <w:rFonts w:ascii="Arial" w:cs="Arial" w:eastAsia="Arial" w:hAnsi="Arial"/>
          <w:b/>
          <w:bCs/>
          <w:color w:val="0B1D3A"/>
          <w:sz w:val="28"/>
          <w:szCs w:val="28"/>
        </w:rPr>
        <w:t xml:space="preserve">Risk Assessment Approval and Sign-Off</w:t>
      </w:r>
    </w:p>
    <w:p>
      <w:pPr>
        <w:spacing w:after="120"/>
        <w:jc w:val="both"/>
      </w:pPr>
      <w:r>
        <w:rPr>
          <w:rFonts w:ascii="Arial" w:cs="Arial" w:eastAsia="Arial" w:hAnsi="Arial"/>
          <w:color w:val="333333"/>
          <w:sz w:val="22"/>
          <w:szCs w:val="22"/>
        </w:rPr>
        <w:t xml:space="preserve">This risk assessment has been reviewed and approved by the following authorised personnel. By signing below, each confirms they have read, understood, and agree to implement the control measures identified.</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Role</w:t>
            </w:r>
          </w:p>
        </w:tc>
        <w:tc>
          <w:tcPr>
            <w:tcW w:type="dxa" w:w="225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Name</w:t>
            </w:r>
          </w:p>
        </w:tc>
        <w:tc>
          <w:tcPr>
            <w:tcW w:type="dxa" w:w="2257"/>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Signature</w:t>
            </w:r>
          </w:p>
        </w:tc>
        <w:tc>
          <w:tcPr>
            <w:tcW w:type="dxa" w:w="2257"/>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Registered Manager</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Clinical Lead / Medical Director</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Health &amp; Safety Lead</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CQC Nominated Individual</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bl>
    <w:p>
      <w:pPr>
        <w:spacing w:after="0" w:before="200"/>
      </w:pPr>
    </w:p>
    <w:p>
      <w:pPr>
        <w:pStyle w:val="Heading1"/>
      </w:pPr>
      <w:r>
        <w:rPr>
          <w:rFonts w:ascii="Arial" w:cs="Arial" w:eastAsia="Arial" w:hAnsi="Arial"/>
          <w:b/>
          <w:bCs/>
          <w:color w:val="0B1D3A"/>
          <w:sz w:val="28"/>
          <w:szCs w:val="28"/>
        </w:rPr>
        <w:t xml:space="preserve">Version History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26"/>
        <w:gridCol w:w="1600"/>
        <w:gridCol w:w="1600"/>
      </w:tblGrid>
      <w:tr>
        <w:tc>
          <w:tcPr>
            <w:tcW w:type="dxa" w:w="12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Version</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c>
          <w:tcPr>
            <w:tcW w:type="dxa" w:w="30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Changes Made</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Author</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Approved By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Initial issue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r>
    </w:tbl>
    <w:p>
      <w:pPr>
        <w:spacing w:after="0" w:before="200"/>
      </w:pPr>
    </w:p>
    <w:p>
      <w:pPr>
        <w:pBdr>
          <w:bottom w:val="single" w:color="0B1D3A" w:sz="6" w:space="1"/>
        </w:pBdr>
        <w:spacing w:after="100" w:before="100"/>
      </w:pPr>
    </w:p>
    <w:p>
      <w:pPr>
        <w:spacing w:after="0" w:before="80"/>
      </w:pPr>
      <w:r>
        <w:rPr>
          <w:rFonts w:ascii="Arial" w:cs="Arial" w:eastAsia="Arial" w:hAnsi="Arial"/>
          <w:i/>
          <w:iCs/>
          <w:color w:val="999999"/>
          <w:sz w:val="16"/>
          <w:szCs w:val="16"/>
        </w:rPr>
        <w:t xml:space="preserve">Disclaimer: This risk assessment template is provided by Barker Scott Ltd as a general compliance resource for CQC-regulated private health clinics. It must be customised to reflect the specific hazards, operations, premises, and circumstances of [Insert Organisation Name]. Barker Scott Ltd accepts no liability for regulatory or health and safety outcomes arising from use of this template. Independent professional advice should be sought as appropriate.</w:t>
      </w:r>
    </w:p>
    <w:sectPr>
      <w:headerReference w:type="default" r:id="rId7"/>
      <w:footerReference w:type="default" r:id="rId8"/>
      <w:pgSz w:w="16838" w:h="11906" w:orient="1"/>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right" w:pos="9026"/>
      </w:tabs>
    </w:pPr>
    <w:r>
      <w:rPr>
        <w:rFonts w:ascii="Arial" w:cs="Arial" w:eastAsia="Arial" w:hAnsi="Arial"/>
        <w:color w:val="999999"/>
        <w:sz w:val="16"/>
        <w:szCs w:val="16"/>
      </w:rPr>
      <w:t xml:space="preserve">Ref: BS-PHC-RA-MH-004 | Version 1.0</w:t>
    </w:r>
    <w:r>
      <w:rPr>
        <w:rFonts w:ascii="Arial" w:cs="Arial" w:eastAsia="Arial" w:hAnsi="Arial"/>
        <w:color w:val="D4AF37"/>
        <w:sz w:val="16"/>
        <w:szCs w:val="16"/>
      </w:rPr>
      <w:t xml:space="preserve">	barker-scott.co.uk</w:t>
    </w:r>
  </w:p>
  <w:p>
    <w:pPr>
      <w:spacing w:after="0" w:before="40"/>
    </w:pPr>
    <w:r>
      <w:rPr>
        <w:rFonts w:ascii="Arial" w:cs="Arial" w:eastAsia="Arial" w:hAnsi="Arial"/>
        <w:i/>
        <w:iCs/>
        <w:color w:val="999999"/>
        <w:sz w:val="14"/>
        <w:szCs w:val="14"/>
      </w:rPr>
      <w:t xml:space="preserve">© Barker Scott Ltd. All rights reserved. Unauthorised reproduction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tabs>
        <w:tab w:val="right" w:pos="9026"/>
      </w:tabs>
      <w:spacing w:after="0"/>
    </w:pPr>
    <w:r>
      <w:rPr>
        <w:rFonts w:ascii="Arial" w:cs="Arial" w:eastAsia="Arial" w:hAnsi="Arial"/>
        <w:b/>
        <w:bCs/>
        <w:color w:val="0B1D3A"/>
        <w:sz w:val="18"/>
        <w:szCs w:val="18"/>
      </w:rPr>
      <w:t xml:space="preserve">BARKER SCOTT</w:t>
    </w:r>
    <w:r>
      <w:rPr>
        <w:rFonts w:ascii="Arial" w:cs="Arial" w:eastAsia="Arial" w:hAnsi="Arial"/>
        <w:color w:val="999999"/>
        <w:sz w:val="16"/>
        <w:szCs w:val="16"/>
      </w:rPr>
      <w:t xml:space="preserve">	Risk Assessment: Manual Handling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2026-05-15T09:24:55.065Z</dcterms:created>
  <dcterms:modified xsi:type="dcterms:W3CDTF">2026-05-15T09:24:55.065Z</dcterms:modified>
</cp:coreProperties>
</file>

<file path=docProps/custom.xml><?xml version="1.0" encoding="utf-8"?>
<Properties xmlns="http://schemas.openxmlformats.org/officeDocument/2006/custom-properties" xmlns:vt="http://schemas.openxmlformats.org/officeDocument/2006/docPropsVTypes"/>
</file>