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jc w:val="center"/>
      </w:pPr>
      <w:r>
        <w:rPr>
          <w:rFonts w:ascii="Arial" w:cs="Arial" w:eastAsia="Arial" w:hAnsi="Arial"/>
          <w:b/>
          <w:bCs/>
          <w:color w:val="0B1D3A"/>
          <w:sz w:val="56"/>
          <w:szCs w:val="56"/>
        </w:rPr>
        <w:t xml:space="preserve">BARKER SCOTT</w:t>
      </w:r>
    </w:p>
    <w:p>
      <w:pPr>
        <w:spacing w:after="200"/>
        <w:jc w:val="center"/>
      </w:pPr>
      <w:r>
        <w:rPr>
          <w:rFonts w:ascii="Arial" w:cs="Arial" w:eastAsia="Arial" w:hAnsi="Arial"/>
          <w:color w:val="D4AF37"/>
          <w:sz w:val="24"/>
          <w:szCs w:val="24"/>
        </w:rPr>
        <w:t xml:space="preserve">CQC Compliance Templates</w:t>
      </w:r>
    </w:p>
    <w:p>
      <w:pPr>
        <w:pBdr>
          <w:bottom w:val="single" w:color="0B1D3A" w:sz="6" w:space="1"/>
        </w:pBdr>
        <w:spacing w:after="100" w:before="100"/>
      </w:pPr>
    </w:p>
    <w:p>
      <w:pPr>
        <w:spacing w:after="0" w:before="400"/>
      </w:pPr>
    </w:p>
    <w:p>
      <w:pPr>
        <w:spacing w:after="60"/>
        <w:jc w:val="center"/>
      </w:pPr>
      <w:r>
        <w:rPr>
          <w:rFonts w:ascii="Arial" w:cs="Arial" w:eastAsia="Arial" w:hAnsi="Arial"/>
          <w:b/>
          <w:bCs/>
          <w:color w:val="D4AF37"/>
          <w:sz w:val="28"/>
          <w:szCs w:val="28"/>
        </w:rPr>
        <w:t xml:space="preserve">RISK ASSESSMENT</w:t>
      </w:r>
    </w:p>
    <w:p>
      <w:pPr>
        <w:spacing w:after="100"/>
        <w:jc w:val="center"/>
      </w:pPr>
      <w:r>
        <w:rPr>
          <w:rFonts w:ascii="Arial" w:cs="Arial" w:eastAsia="Arial" w:hAnsi="Arial"/>
          <w:b/>
          <w:bCs/>
          <w:color w:val="0B1D3A"/>
          <w:sz w:val="38"/>
          <w:szCs w:val="38"/>
        </w:rPr>
        <w:t xml:space="preserve">Medical Equipment and Devices
Risk Assessment</w:t>
      </w:r>
    </w:p>
    <w:p>
      <w:pPr>
        <w:spacing w:after="100"/>
        <w:jc w:val="center"/>
      </w:pPr>
      <w:r>
        <w:rPr>
          <w:rFonts w:ascii="Arial" w:cs="Arial" w:eastAsia="Arial" w:hAnsi="Arial"/>
          <w:color w:val="999999"/>
          <w:sz w:val="24"/>
          <w:szCs w:val="24"/>
        </w:rPr>
        <w:t xml:space="preserve">For CQC-Registered Private Health Clinics</w:t>
      </w:r>
    </w:p>
    <w:p>
      <w:pPr>
        <w:pBdr>
          <w:bottom w:val="single" w:color="0B1D3A" w:sz="6" w:space="1"/>
        </w:pBdr>
        <w:spacing w:after="100" w:before="100"/>
      </w:pPr>
    </w:p>
    <w:p>
      <w:pPr>
        <w:spacing w:after="0" w:before="200"/>
      </w:pPr>
    </w:p>
    <w:p>
      <w:pPr>
        <w:jc w:val="center"/>
      </w:pPr>
      <w:r>
        <w:rPr>
          <w:rFonts w:ascii="Arial" w:cs="Arial" w:eastAsia="Arial" w:hAnsi="Arial"/>
          <w:b/>
          <w:bCs/>
          <w:color w:val="D4AF37"/>
          <w:sz w:val="24"/>
          <w:szCs w:val="24"/>
        </w:rPr>
        <w:t xml:space="preserve">Private Health Clinic Sector</w:t>
      </w:r>
    </w:p>
    <w:p>
      <w:pPr>
        <w:spacing w:after="0" w:before="100"/>
      </w:pPr>
    </w:p>
    <w:p>
      <w:pPr>
        <w:jc w:val="center"/>
      </w:pPr>
      <w:r>
        <w:rPr>
          <w:rFonts w:ascii="Arial" w:cs="Arial" w:eastAsia="Arial" w:hAnsi="Arial"/>
          <w:color w:val="999999"/>
          <w:sz w:val="20"/>
          <w:szCs w:val="20"/>
        </w:rPr>
        <w:t xml:space="preserve">Document Reference: BS-PHC-RA-ME-007</w:t>
      </w:r>
    </w:p>
    <w:p>
      <w:pPr>
        <w:jc w:val="center"/>
      </w:pPr>
      <w:r>
        <w:rPr>
          <w:rFonts w:ascii="Arial" w:cs="Arial" w:eastAsia="Arial" w:hAnsi="Arial"/>
          <w:color w:val="999999"/>
          <w:sz w:val="20"/>
          <w:szCs w:val="20"/>
        </w:rPr>
        <w:t xml:space="preserve">Version 1.0</w:t>
      </w:r>
    </w:p>
    <w:p>
      <w:pPr>
        <w:spacing w:after="0" w:before="600"/>
      </w:pPr>
    </w:p>
    <w:p>
      <w:pPr>
        <w:spacing w:after="40"/>
        <w:jc w:val="center"/>
      </w:pPr>
      <w:r>
        <w:rPr>
          <w:rFonts w:ascii="Arial" w:cs="Arial" w:eastAsia="Arial" w:hAnsi="Arial"/>
          <w:b/>
          <w:bCs/>
          <w:color w:val="0B1D3A"/>
          <w:sz w:val="28"/>
          <w:szCs w:val="28"/>
        </w:rPr>
        <w:t xml:space="preserve">[Insert Organisation Name]</w:t>
      </w:r>
    </w:p>
    <w:p>
      <w:pPr>
        <w:spacing w:after="0" w:before="400"/>
      </w:pPr>
    </w:p>
    <w:p>
      <w:pPr>
        <w:pBdr>
          <w:top w:val="single" w:color="D4AF37" w:sz="2" w:space="8"/>
        </w:pBdr>
        <w:spacing w:before="200"/>
        <w:jc w:val="center"/>
      </w:pPr>
      <w:r>
        <w:rPr>
          <w:rFonts w:ascii="Arial" w:cs="Arial" w:eastAsia="Arial" w:hAnsi="Arial"/>
          <w:i/>
          <w:iCs/>
          <w:color w:val="999999"/>
          <w:sz w:val="18"/>
          <w:szCs w:val="18"/>
        </w:rPr>
        <w:t xml:space="preserve">CONFIDENTIAL – FOR INTERNAL USE ONLY</w:t>
      </w:r>
    </w:p>
    <w:p>
      <w:r>
        <w:br w:type="page"/>
      </w:r>
    </w:p>
    <w:p>
      <w:pPr>
        <w:pStyle w:val="Heading1"/>
      </w:pPr>
      <w:r>
        <w:rPr>
          <w:rFonts w:ascii="Arial" w:cs="Arial" w:eastAsia="Arial" w:hAnsi="Arial"/>
          <w:b/>
          <w:bCs/>
          <w:color w:val="0B1D3A"/>
          <w:sz w:val="28"/>
          <w:szCs w:val="28"/>
        </w:rPr>
        <w:t xml:space="preserve">Document Control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Document Title: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Medical Equipment and Devices
Risk Assessment</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Document Reference: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BS-PHC-RA-ME-007</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Date of Issue: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Review Date: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 + 12 Months]</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Assessor:</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 / Role]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Approved By:</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 / Governance Lead]</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Organisation:</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Organisation Name]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Location / Site: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Clinic Address]</w:t>
            </w:r>
          </w:p>
        </w:tc>
      </w:tr>
    </w:tbl>
    <w:p>
      <w:pPr>
        <w:spacing w:after="0" w:before="200"/>
      </w:pPr>
    </w:p>
    <w:p>
      <w:pPr>
        <w:pStyle w:val="Heading1"/>
      </w:pPr>
      <w:r>
        <w:rPr>
          <w:rFonts w:ascii="Arial" w:cs="Arial" w:eastAsia="Arial" w:hAnsi="Arial"/>
          <w:b/>
          <w:bCs/>
          <w:color w:val="0B1D3A"/>
          <w:sz w:val="28"/>
          <w:szCs w:val="28"/>
        </w:rPr>
        <w:t xml:space="preserve">1. Purpose</w:t>
      </w:r>
    </w:p>
    <w:p>
      <w:pPr>
        <w:spacing w:after="120"/>
        <w:jc w:val="both"/>
      </w:pPr>
      <w:r>
        <w:rPr>
          <w:rFonts w:ascii="Arial" w:cs="Arial" w:eastAsia="Arial" w:hAnsi="Arial"/>
          <w:color w:val="333333"/>
          <w:sz w:val="22"/>
          <w:szCs w:val="22"/>
        </w:rPr>
        <w:t xml:space="preserve">This risk assessment identifies hazards associated with medical equipment and devices used within [Insert Organisation Name] and establishes control measures to ensure patient and staff safety. It supports compliance with the Provision and Use of Work Equipment Regulations 1998 (PUWER), the Medical Devices Regulations 2002, and Regulation 12 and Regulation 15 of the Health and Social Care Act 2008 (Regulated Activities) Regulations 2014.</w:t>
      </w:r>
    </w:p>
    <w:p>
      <w:pPr>
        <w:pStyle w:val="Heading1"/>
      </w:pPr>
      <w:r>
        <w:rPr>
          <w:rFonts w:ascii="Arial" w:cs="Arial" w:eastAsia="Arial" w:hAnsi="Arial"/>
          <w:b/>
          <w:bCs/>
          <w:color w:val="0B1D3A"/>
          <w:sz w:val="28"/>
          <w:szCs w:val="28"/>
        </w:rPr>
        <w:t xml:space="preserve">2. Scope</w:t>
      </w:r>
    </w:p>
    <w:p>
      <w:pPr>
        <w:spacing w:after="120"/>
        <w:jc w:val="both"/>
      </w:pPr>
      <w:r>
        <w:rPr>
          <w:rFonts w:ascii="Arial" w:cs="Arial" w:eastAsia="Arial" w:hAnsi="Arial"/>
          <w:color w:val="333333"/>
          <w:sz w:val="22"/>
          <w:szCs w:val="22"/>
        </w:rPr>
        <w:t xml:space="preserve">This assessment covers all medical devices, diagnostic equipment, monitoring equipment, surgical and procedural instruments, IT-connected clinical systems, and ancillary clinical equipment used within [Insert Organisation Name]. It includes both reusable and single-use devices.</w:t>
      </w:r>
    </w:p>
    <w:p>
      <w:r>
        <w:br w:type="page"/>
      </w:r>
    </w:p>
    <w:p>
      <w:pPr>
        <w:pStyle w:val="Heading1"/>
      </w:pPr>
      <w:r>
        <w:rPr>
          <w:rFonts w:ascii="Arial" w:cs="Arial" w:eastAsia="Arial" w:hAnsi="Arial"/>
          <w:b/>
          <w:bCs/>
          <w:color w:val="0B1D3A"/>
          <w:sz w:val="28"/>
          <w:szCs w:val="28"/>
        </w:rPr>
        <w:t xml:space="preserve">Risk Assessment Matrix</w:t>
      </w:r>
    </w:p>
    <w:p>
      <w:pPr>
        <w:spacing w:after="120"/>
        <w:jc w:val="both"/>
      </w:pPr>
      <w:r>
        <w:rPr>
          <w:rFonts w:ascii="Arial" w:cs="Arial" w:eastAsia="Arial" w:hAnsi="Arial"/>
          <w:color w:val="333333"/>
          <w:sz w:val="22"/>
          <w:szCs w:val="22"/>
        </w:rPr>
        <w:t xml:space="preserve">Risk is calculated as Likelihood × Severity using the 5×5 risk matrix below. Initial risk is assessed before additional controls; residual risk is the rating after implementation of all additional control measures.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5"/>
        <w:gridCol w:w="1445"/>
        <w:gridCol w:w="1445"/>
      </w:tblGrid>
      <w:tr>
        <w:tc>
          <w:tcPr>
            <w:tcW w:type="dxa" w:w="18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Likelihood ↓ / Severity →</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1
Negligible</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2
Minor</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3
Moderate</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4
Major</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5
Catastrophic</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5 – Almost Certain</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5</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10</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20</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25</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4 – Likely</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12</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16</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20</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3 – Possible</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3</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6</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9</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12</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2 – Unlikely</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2</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6</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10</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 – Rare</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1</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2</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3</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5</w:t>
            </w:r>
          </w:p>
        </w:tc>
      </w:tr>
    </w:tbl>
    <w:p>
      <w:pPr>
        <w:spacing w:after="0" w:before="160"/>
      </w:pPr>
    </w:p>
    <w:p>
      <w:pPr>
        <w:pStyle w:val="Heading2"/>
      </w:pPr>
      <w:r>
        <w:rPr>
          <w:rFonts w:ascii="Arial" w:cs="Arial" w:eastAsia="Arial" w:hAnsi="Arial"/>
          <w:b/>
          <w:bCs/>
          <w:color w:val="0B1D3A"/>
          <w:sz w:val="24"/>
          <w:szCs w:val="24"/>
        </w:rPr>
        <w:t xml:space="preserve">Risk Rating Action Key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Score</w:t>
            </w:r>
          </w:p>
        </w:tc>
        <w:tc>
          <w:tcPr>
            <w:tcW w:type="dxa" w:w="25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Rating</w:t>
            </w:r>
          </w:p>
        </w:tc>
        <w:tc>
          <w:tcPr>
            <w:tcW w:type="dxa" w:w="50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Required Action</w:t>
            </w:r>
          </w:p>
        </w:tc>
      </w:tr>
      <w:tr>
        <w:tc>
          <w:tcPr>
            <w:tcW w:type="dxa" w:w="15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15–25</w:t>
            </w:r>
          </w:p>
        </w:tc>
        <w:tc>
          <w:tcPr>
            <w:tcW w:type="dxa" w:w="25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left"/>
            </w:pPr>
            <w:r>
              <w:rPr>
                <w:rFonts w:ascii="Arial" w:cs="Arial" w:eastAsia="Arial" w:hAnsi="Arial"/>
                <w:b/>
                <w:bCs/>
                <w:color w:val="C0392B"/>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Immediate action required. Escalate to Registered Manager and Clinical Lead. Consider suspending activity until controls are implemented.</w:t>
            </w:r>
          </w:p>
        </w:tc>
      </w:tr>
      <w:tr>
        <w:tc>
          <w:tcPr>
            <w:tcW w:type="dxa" w:w="15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8–12</w:t>
            </w:r>
          </w:p>
        </w:tc>
        <w:tc>
          <w:tcPr>
            <w:tcW w:type="dxa" w:w="25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left"/>
            </w:pPr>
            <w:r>
              <w:rPr>
                <w:rFonts w:ascii="Arial" w:cs="Arial" w:eastAsia="Arial" w:hAnsi="Arial"/>
                <w:b/>
                <w:bCs/>
                <w:color w:val="D35400"/>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Action required within defined timescale. Implement additional controls and monitor. Report to governance meeting.</w:t>
            </w:r>
          </w:p>
        </w:tc>
      </w:tr>
      <w:tr>
        <w:tc>
          <w:tcPr>
            <w:tcW w:type="dxa" w:w="15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4–6</w:t>
            </w:r>
          </w:p>
        </w:tc>
        <w:tc>
          <w:tcPr>
            <w:tcW w:type="dxa" w:w="25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left"/>
            </w:pPr>
            <w:r>
              <w:rPr>
                <w:rFonts w:ascii="Arial" w:cs="Arial" w:eastAsia="Arial" w:hAnsi="Arial"/>
                <w:b/>
                <w:bCs/>
                <w:color w:val="7D6608"/>
                <w:sz w:val="20"/>
                <w:szCs w:val="20"/>
              </w:rPr>
              <w:t xml:space="preserve">LOW</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Manage by routine procedures and existing controls. Monitor for change. Review at scheduled intervals.</w:t>
            </w:r>
          </w:p>
        </w:tc>
      </w:tr>
      <w:tr>
        <w:tc>
          <w:tcPr>
            <w:tcW w:type="dxa" w:w="150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1–3</w:t>
            </w:r>
          </w:p>
        </w:tc>
        <w:tc>
          <w:tcPr>
            <w:tcW w:type="dxa" w:w="250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left"/>
            </w:pPr>
            <w:r>
              <w:rPr>
                <w:rFonts w:ascii="Arial" w:cs="Arial" w:eastAsia="Arial" w:hAnsi="Arial"/>
                <w:b/>
                <w:bCs/>
                <w:color w:val="1E8449"/>
                <w:sz w:val="20"/>
                <w:szCs w:val="20"/>
              </w:rPr>
              <w:t xml:space="preserve">VERY LOW</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No additional action required. Maintain current controls. Include in routine review cycle.</w:t>
            </w:r>
          </w:p>
        </w:tc>
      </w:tr>
    </w:tbl>
    <w:p>
      <w:pPr>
        <w:spacing w:after="0" w:before="200"/>
      </w:pPr>
    </w:p>
    <w:p>
      <w:r>
        <w:br w:type="page"/>
      </w:r>
    </w:p>
    <w:p>
      <w:pPr>
        <w:pStyle w:val="Heading1"/>
      </w:pPr>
      <w:r>
        <w:rPr>
          <w:rFonts w:ascii="Arial" w:cs="Arial" w:eastAsia="Arial" w:hAnsi="Arial"/>
          <w:b/>
          <w:bCs/>
          <w:color w:val="0B1D3A"/>
          <w:sz w:val="28"/>
          <w:szCs w:val="28"/>
        </w:rPr>
        <w:t xml:space="preserve">Hazard Identification and Risk Register</w:t>
      </w:r>
    </w:p>
    <w:p>
      <w:pPr>
        <w:spacing w:after="120"/>
        <w:jc w:val="both"/>
      </w:pPr>
      <w:r>
        <w:rPr>
          <w:rFonts w:ascii="Arial" w:cs="Arial" w:eastAsia="Arial" w:hAnsi="Arial"/>
          <w:color w:val="333333"/>
          <w:sz w:val="22"/>
          <w:szCs w:val="22"/>
        </w:rPr>
        <w:t xml:space="preserve">L = Likelihood (1–5) | S = Severity (1–5) | Risk = L × S. Existing controls are currently in place; additional controls are recommended actions to reduce residual risk.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700"/>
        <w:gridCol w:w="1700"/>
        <w:gridCol w:w="400"/>
        <w:gridCol w:w="400"/>
        <w:gridCol w:w="450"/>
        <w:gridCol w:w="1700"/>
        <w:gridCol w:w="400"/>
        <w:gridCol w:w="400"/>
        <w:gridCol w:w="450"/>
        <w:gridCol w:w="926"/>
      </w:tblGrid>
      <w:tr>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Ref</w:t>
            </w:r>
          </w:p>
        </w:tc>
        <w:tc>
          <w:tcPr>
            <w:tcW w:type="dxa" w:w="11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Hazard / Risk</w:t>
            </w:r>
          </w:p>
        </w:tc>
        <w:tc>
          <w:tcPr>
            <w:tcW w:type="dxa" w:w="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Who is at Risk</w:t>
            </w:r>
          </w:p>
        </w:tc>
        <w:tc>
          <w:tcPr>
            <w:tcW w:type="dxa" w:w="1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Existing Control Measures</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w:t>
            </w:r>
          </w:p>
        </w:tc>
        <w:tc>
          <w:tcPr>
            <w:tcW w:type="dxa" w:w="45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Risk</w:t>
            </w:r>
          </w:p>
        </w:tc>
        <w:tc>
          <w:tcPr>
            <w:tcW w:type="dxa" w:w="1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Additional Control Measures Required</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w:t>
            </w:r>
          </w:p>
        </w:tc>
        <w:tc>
          <w:tcPr>
            <w:tcW w:type="dxa" w:w="45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Risk</w:t>
            </w:r>
          </w:p>
        </w:tc>
        <w:tc>
          <w:tcPr>
            <w:tcW w:type="dxa" w:w="9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Owner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7.1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Malfunction of clinical monitoring equipment (e.g. pulse oximeter, BP monitor) giving incorrect readings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Equipment maintained per manufacturer schedule</w:t>
            </w:r>
          </w:p>
          <w:p>
            <w:pPr>
              <w:spacing w:after="40"/>
              <w:jc w:val="left"/>
            </w:pPr>
            <w:r>
              <w:rPr>
                <w:rFonts w:ascii="Arial" w:cs="Arial" w:eastAsia="Arial" w:hAnsi="Arial"/>
                <w:b w:val="false"/>
                <w:bCs w:val="false"/>
                <w:color w:val="333333"/>
                <w:sz w:val="16"/>
                <w:szCs w:val="16"/>
              </w:rPr>
              <w:t xml:space="preserve">Calibration records maintained</w:t>
            </w:r>
          </w:p>
          <w:p>
            <w:pPr>
              <w:spacing w:after="0"/>
              <w:jc w:val="left"/>
            </w:pPr>
            <w:r>
              <w:rPr>
                <w:rFonts w:ascii="Arial" w:cs="Arial" w:eastAsia="Arial" w:hAnsi="Arial"/>
                <w:b w:val="false"/>
                <w:bCs w:val="false"/>
                <w:color w:val="333333"/>
                <w:sz w:val="16"/>
                <w:szCs w:val="16"/>
              </w:rPr>
              <w:t xml:space="preserve">Staff trained in equipment operation</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10</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Asset register with maintenance due dates</w:t>
            </w:r>
          </w:p>
          <w:p>
            <w:pPr>
              <w:spacing w:after="40"/>
              <w:jc w:val="left"/>
            </w:pPr>
            <w:r>
              <w:rPr>
                <w:rFonts w:ascii="Arial" w:cs="Arial" w:eastAsia="Arial" w:hAnsi="Arial"/>
                <w:b w:val="false"/>
                <w:bCs w:val="false"/>
                <w:color w:val="333333"/>
                <w:sz w:val="16"/>
                <w:szCs w:val="16"/>
              </w:rPr>
              <w:t xml:space="preserve">Planned preventive maintenance (PPM) programme</w:t>
            </w:r>
          </w:p>
          <w:p>
            <w:pPr>
              <w:spacing w:after="0"/>
              <w:jc w:val="left"/>
            </w:pPr>
            <w:r>
              <w:rPr>
                <w:rFonts w:ascii="Arial" w:cs="Arial" w:eastAsia="Arial" w:hAnsi="Arial"/>
                <w:b w:val="false"/>
                <w:bCs w:val="false"/>
                <w:color w:val="333333"/>
                <w:sz w:val="16"/>
                <w:szCs w:val="16"/>
              </w:rPr>
              <w:t xml:space="preserve">Automatic alerts for overdue servicing</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5</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Clinical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7.2</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Electrical safety failure: patient or staff electric shock</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PAT testing annually</w:t>
            </w:r>
          </w:p>
          <w:p>
            <w:pPr>
              <w:spacing w:after="40"/>
              <w:jc w:val="left"/>
            </w:pPr>
            <w:r>
              <w:rPr>
                <w:rFonts w:ascii="Arial" w:cs="Arial" w:eastAsia="Arial" w:hAnsi="Arial"/>
                <w:b w:val="false"/>
                <w:bCs w:val="false"/>
                <w:color w:val="333333"/>
                <w:sz w:val="16"/>
                <w:szCs w:val="16"/>
              </w:rPr>
              <w:t xml:space="preserve">Fixed installation test per BS 7671 (5-yearly)</w:t>
            </w:r>
          </w:p>
          <w:p>
            <w:pPr>
              <w:spacing w:after="0"/>
              <w:jc w:val="left"/>
            </w:pPr>
            <w:r>
              <w:rPr>
                <w:rFonts w:ascii="Arial" w:cs="Arial" w:eastAsia="Arial" w:hAnsi="Arial"/>
                <w:b w:val="false"/>
                <w:bCs w:val="false"/>
                <w:color w:val="333333"/>
                <w:sz w:val="16"/>
                <w:szCs w:val="16"/>
              </w:rPr>
              <w:t xml:space="preserve">Visual inspection before each use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5</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Medical equipment-specific electrical safety testing (IEC 62353)</w:t>
            </w:r>
          </w:p>
          <w:p>
            <w:pPr>
              <w:spacing w:after="40"/>
              <w:jc w:val="left"/>
            </w:pPr>
            <w:r>
              <w:rPr>
                <w:rFonts w:ascii="Arial" w:cs="Arial" w:eastAsia="Arial" w:hAnsi="Arial"/>
                <w:b w:val="false"/>
                <w:bCs w:val="false"/>
                <w:color w:val="333333"/>
                <w:sz w:val="16"/>
                <w:szCs w:val="16"/>
              </w:rPr>
              <w:t xml:space="preserve">Residual current devices (RCDs) in all treatment rooms</w:t>
            </w:r>
          </w:p>
          <w:p>
            <w:pPr>
              <w:spacing w:after="0"/>
              <w:jc w:val="left"/>
            </w:pPr>
            <w:r>
              <w:rPr>
                <w:rFonts w:ascii="Arial" w:cs="Arial" w:eastAsia="Arial" w:hAnsi="Arial"/>
                <w:b w:val="false"/>
                <w:bCs w:val="false"/>
                <w:color w:val="333333"/>
                <w:sz w:val="16"/>
                <w:szCs w:val="16"/>
              </w:rPr>
              <w:t xml:space="preserve">Faulty equipment immediately withdrawn and labelled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5</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Facilities Mgr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7.3</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Use of single-use devices beyond intended use or reprocessed</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Single-use labelling respected</w:t>
            </w:r>
          </w:p>
          <w:p>
            <w:pPr>
              <w:spacing w:after="40"/>
              <w:jc w:val="left"/>
            </w:pPr>
            <w:r>
              <w:rPr>
                <w:rFonts w:ascii="Arial" w:cs="Arial" w:eastAsia="Arial" w:hAnsi="Arial"/>
                <w:b w:val="false"/>
                <w:bCs w:val="false"/>
                <w:color w:val="333333"/>
                <w:sz w:val="16"/>
                <w:szCs w:val="16"/>
              </w:rPr>
              <w:t xml:space="preserve">Staff trained on single-use vs reusable</w:t>
            </w:r>
          </w:p>
          <w:p>
            <w:pPr>
              <w:spacing w:after="0"/>
              <w:jc w:val="left"/>
            </w:pPr>
            <w:r>
              <w:rPr>
                <w:rFonts w:ascii="Arial" w:cs="Arial" w:eastAsia="Arial" w:hAnsi="Arial"/>
                <w:b w:val="false"/>
                <w:bCs w:val="false"/>
                <w:color w:val="333333"/>
                <w:sz w:val="16"/>
                <w:szCs w:val="16"/>
              </w:rPr>
              <w:t xml:space="preserve">No reprocessing of single-use devices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5</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Annual audit of single-use device compliance</w:t>
            </w:r>
          </w:p>
          <w:p>
            <w:pPr>
              <w:spacing w:after="40"/>
              <w:jc w:val="left"/>
            </w:pPr>
            <w:r>
              <w:rPr>
                <w:rFonts w:ascii="Arial" w:cs="Arial" w:eastAsia="Arial" w:hAnsi="Arial"/>
                <w:b w:val="false"/>
                <w:bCs w:val="false"/>
                <w:color w:val="333333"/>
                <w:sz w:val="16"/>
                <w:szCs w:val="16"/>
              </w:rPr>
              <w:t xml:space="preserve">Procurement controls to prevent reprocessing</w:t>
            </w:r>
          </w:p>
          <w:p>
            <w:pPr>
              <w:spacing w:after="0"/>
              <w:jc w:val="left"/>
            </w:pPr>
            <w:r>
              <w:rPr>
                <w:rFonts w:ascii="Arial" w:cs="Arial" w:eastAsia="Arial" w:hAnsi="Arial"/>
                <w:b w:val="false"/>
                <w:bCs w:val="false"/>
                <w:color w:val="333333"/>
                <w:sz w:val="16"/>
                <w:szCs w:val="16"/>
              </w:rPr>
              <w:t xml:space="preserve">Incident investigation if suspected breach</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5</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IPC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7.4</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MHRA safety alert or device recall not actioned</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MHRA alerts email subscription active</w:t>
            </w:r>
          </w:p>
          <w:p>
            <w:pPr>
              <w:spacing w:after="40"/>
              <w:jc w:val="left"/>
            </w:pPr>
            <w:r>
              <w:rPr>
                <w:rFonts w:ascii="Arial" w:cs="Arial" w:eastAsia="Arial" w:hAnsi="Arial"/>
                <w:b w:val="false"/>
                <w:bCs w:val="false"/>
                <w:color w:val="333333"/>
                <w:sz w:val="16"/>
                <w:szCs w:val="16"/>
              </w:rPr>
              <w:t xml:space="preserve">Named person reviews alerts on receipt</w:t>
            </w:r>
          </w:p>
          <w:p>
            <w:pPr>
              <w:spacing w:after="0"/>
              <w:jc w:val="left"/>
            </w:pPr>
            <w:r>
              <w:rPr>
                <w:rFonts w:ascii="Arial" w:cs="Arial" w:eastAsia="Arial" w:hAnsi="Arial"/>
                <w:b w:val="false"/>
                <w:bCs w:val="false"/>
                <w:color w:val="333333"/>
                <w:sz w:val="16"/>
                <w:szCs w:val="16"/>
              </w:rPr>
              <w:t xml:space="preserve">Alert action log maintained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Weekly MHRA alert check documented</w:t>
            </w:r>
          </w:p>
          <w:p>
            <w:pPr>
              <w:spacing w:after="40"/>
              <w:jc w:val="left"/>
            </w:pPr>
            <w:r>
              <w:rPr>
                <w:rFonts w:ascii="Arial" w:cs="Arial" w:eastAsia="Arial" w:hAnsi="Arial"/>
                <w:b w:val="false"/>
                <w:bCs w:val="false"/>
                <w:color w:val="333333"/>
                <w:sz w:val="16"/>
                <w:szCs w:val="16"/>
              </w:rPr>
              <w:t xml:space="preserve">Affected stock quarantined within 24 hours</w:t>
            </w:r>
          </w:p>
          <w:p>
            <w:pPr>
              <w:spacing w:after="0"/>
              <w:jc w:val="left"/>
            </w:pPr>
            <w:r>
              <w:rPr>
                <w:rFonts w:ascii="Arial" w:cs="Arial" w:eastAsia="Arial" w:hAnsi="Arial"/>
                <w:b w:val="false"/>
                <w:bCs w:val="false"/>
                <w:color w:val="333333"/>
                <w:sz w:val="16"/>
                <w:szCs w:val="16"/>
              </w:rPr>
              <w:t xml:space="preserve">Alert compliance reported at governance meeting</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4</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Reg. Manager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7.5</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Staff using equipment without adequate training or competence</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Equipment training at induction for role-specific devices</w:t>
            </w:r>
          </w:p>
          <w:p>
            <w:pPr>
              <w:spacing w:after="40"/>
              <w:jc w:val="left"/>
            </w:pPr>
            <w:r>
              <w:rPr>
                <w:rFonts w:ascii="Arial" w:cs="Arial" w:eastAsia="Arial" w:hAnsi="Arial"/>
                <w:b w:val="false"/>
                <w:bCs w:val="false"/>
                <w:color w:val="333333"/>
                <w:sz w:val="16"/>
                <w:szCs w:val="16"/>
              </w:rPr>
              <w:t xml:space="preserve">Manufacturer’s IFUs available at point of use</w:t>
            </w:r>
          </w:p>
          <w:p>
            <w:pPr>
              <w:spacing w:after="0"/>
              <w:jc w:val="left"/>
            </w:pPr>
            <w:r>
              <w:rPr>
                <w:rFonts w:ascii="Arial" w:cs="Arial" w:eastAsia="Arial" w:hAnsi="Arial"/>
                <w:b w:val="false"/>
                <w:bCs w:val="false"/>
                <w:color w:val="333333"/>
                <w:sz w:val="16"/>
                <w:szCs w:val="16"/>
              </w:rPr>
              <w:t xml:space="preserve">Competency sign-off before independent use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12</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Annual competency reassessment for high-risk devices</w:t>
            </w:r>
          </w:p>
          <w:p>
            <w:pPr>
              <w:spacing w:after="40"/>
              <w:jc w:val="left"/>
            </w:pPr>
            <w:r>
              <w:rPr>
                <w:rFonts w:ascii="Arial" w:cs="Arial" w:eastAsia="Arial" w:hAnsi="Arial"/>
                <w:b w:val="false"/>
                <w:bCs w:val="false"/>
                <w:color w:val="333333"/>
                <w:sz w:val="16"/>
                <w:szCs w:val="16"/>
              </w:rPr>
              <w:t xml:space="preserve">Training records centralised and auditable</w:t>
            </w:r>
          </w:p>
          <w:p>
            <w:pPr>
              <w:spacing w:after="0"/>
              <w:jc w:val="left"/>
            </w:pPr>
            <w:r>
              <w:rPr>
                <w:rFonts w:ascii="Arial" w:cs="Arial" w:eastAsia="Arial" w:hAnsi="Arial"/>
                <w:b w:val="false"/>
                <w:bCs w:val="false"/>
                <w:color w:val="333333"/>
                <w:sz w:val="16"/>
                <w:szCs w:val="16"/>
              </w:rPr>
              <w:t xml:space="preserve">New equipment roll-out includes mandatory training session</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Clinical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7.6</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Failure of emergency resuscitation equipment (defibrillator, suction, oxygen)</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Weekly resuscitation equipment checks</w:t>
            </w:r>
          </w:p>
          <w:p>
            <w:pPr>
              <w:spacing w:after="40"/>
              <w:jc w:val="left"/>
            </w:pPr>
            <w:r>
              <w:rPr>
                <w:rFonts w:ascii="Arial" w:cs="Arial" w:eastAsia="Arial" w:hAnsi="Arial"/>
                <w:b w:val="false"/>
                <w:bCs w:val="false"/>
                <w:color w:val="333333"/>
                <w:sz w:val="16"/>
                <w:szCs w:val="16"/>
              </w:rPr>
              <w:t xml:space="preserve">Check list completed and signed</w:t>
            </w:r>
          </w:p>
          <w:p>
            <w:pPr>
              <w:spacing w:after="0"/>
              <w:jc w:val="left"/>
            </w:pPr>
            <w:r>
              <w:rPr>
                <w:rFonts w:ascii="Arial" w:cs="Arial" w:eastAsia="Arial" w:hAnsi="Arial"/>
                <w:b w:val="false"/>
                <w:bCs w:val="false"/>
                <w:color w:val="333333"/>
                <w:sz w:val="16"/>
                <w:szCs w:val="16"/>
              </w:rPr>
              <w:t xml:space="preserve">Equipment serviced per manufacturer schedule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10</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Automated defibrillator self-test verified daily</w:t>
            </w:r>
          </w:p>
          <w:p>
            <w:pPr>
              <w:spacing w:after="40"/>
              <w:jc w:val="left"/>
            </w:pPr>
            <w:r>
              <w:rPr>
                <w:rFonts w:ascii="Arial" w:cs="Arial" w:eastAsia="Arial" w:hAnsi="Arial"/>
                <w:b w:val="false"/>
                <w:bCs w:val="false"/>
                <w:color w:val="333333"/>
                <w:sz w:val="16"/>
                <w:szCs w:val="16"/>
              </w:rPr>
              <w:t xml:space="preserve">Backup equipment available</w:t>
            </w:r>
          </w:p>
          <w:p>
            <w:pPr>
              <w:spacing w:after="0"/>
              <w:jc w:val="left"/>
            </w:pPr>
            <w:r>
              <w:rPr>
                <w:rFonts w:ascii="Arial" w:cs="Arial" w:eastAsia="Arial" w:hAnsi="Arial"/>
                <w:b w:val="false"/>
                <w:bCs w:val="false"/>
                <w:color w:val="333333"/>
                <w:sz w:val="16"/>
                <w:szCs w:val="16"/>
              </w:rPr>
              <w:t xml:space="preserve">Quarterly simulated emergency scenario test</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5</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Clinical Lead</w:t>
            </w:r>
          </w:p>
        </w:tc>
      </w:tr>
    </w:tbl>
    <w:p>
      <w:pPr>
        <w:spacing w:after="0" w:before="200"/>
      </w:pPr>
    </w:p>
    <w:p>
      <w:r>
        <w:br w:type="page"/>
      </w:r>
    </w:p>
    <w:p>
      <w:pPr>
        <w:pStyle w:val="Heading1"/>
      </w:pPr>
      <w:r>
        <w:rPr>
          <w:rFonts w:ascii="Arial" w:cs="Arial" w:eastAsia="Arial" w:hAnsi="Arial"/>
          <w:b/>
          <w:bCs/>
          <w:color w:val="0B1D3A"/>
          <w:sz w:val="28"/>
          <w:szCs w:val="28"/>
        </w:rPr>
        <w:t xml:space="preserve">Applicable Legislation and Regulatory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Legislation / Regulation</w:t>
            </w:r>
          </w:p>
        </w:tc>
        <w:tc>
          <w:tcPr>
            <w:tcW w:type="dxa" w:w="4513"/>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Relevance</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Provision and Use of Work Equipment Regulations 1998 (PUWER)</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Safe provision, maintenance, and use of work equipment</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Medical Devices Regulations 2002 (UK MDR 2002)</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Placing on the market and use of medical devices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Medicines and Healthcare products Regulatory Agency (MHRA) – Device Safety Alerts</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Duty to act on safety alerts and field safety notices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Electricity at Work Regulations 1989</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Electrical safety in the workplace</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Health and Social Care Act 2008 (Regulated Activities) Regs 2014, Reg 12 &amp; 15</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Safe care and suitable premises/equipment</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Resuscitation Council UK Guidelines</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Standards for emergency resuscitation equipment</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IEC 62353 – Medical Electrical Equipment Recurrent Testing</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Safety testing standard for in-service medical devices</w:t>
            </w:r>
          </w:p>
        </w:tc>
      </w:tr>
    </w:tbl>
    <w:p>
      <w:pPr>
        <w:spacing w:after="0" w:before="200"/>
      </w:pPr>
    </w:p>
    <w:p>
      <w:pPr>
        <w:pStyle w:val="Heading1"/>
      </w:pPr>
      <w:r>
        <w:rPr>
          <w:rFonts w:ascii="Arial" w:cs="Arial" w:eastAsia="Arial" w:hAnsi="Arial"/>
          <w:b/>
          <w:bCs/>
          <w:color w:val="0B1D3A"/>
          <w:sz w:val="28"/>
          <w:szCs w:val="28"/>
        </w:rPr>
        <w:t xml:space="preserve">Risk Assessment Approval and Sign-Off</w:t>
      </w:r>
    </w:p>
    <w:p>
      <w:pPr>
        <w:spacing w:after="120"/>
        <w:jc w:val="both"/>
      </w:pPr>
      <w:r>
        <w:rPr>
          <w:rFonts w:ascii="Arial" w:cs="Arial" w:eastAsia="Arial" w:hAnsi="Arial"/>
          <w:color w:val="333333"/>
          <w:sz w:val="22"/>
          <w:szCs w:val="22"/>
        </w:rPr>
        <w:t xml:space="preserve">This risk assessment has been reviewed and approved by the following authorised personnel. By signing below, each confirms they have read, understood, and agree to implement the control measures identified.</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Role</w:t>
            </w:r>
          </w:p>
        </w:tc>
        <w:tc>
          <w:tcPr>
            <w:tcW w:type="dxa" w:w="225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Name</w:t>
            </w:r>
          </w:p>
        </w:tc>
        <w:tc>
          <w:tcPr>
            <w:tcW w:type="dxa" w:w="2257"/>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Signature</w:t>
            </w:r>
          </w:p>
        </w:tc>
        <w:tc>
          <w:tcPr>
            <w:tcW w:type="dxa" w:w="2257"/>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Registered Manager</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Clinical Lead / Medical Director</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Health &amp; Safety Lead</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CQC Nominated Individual</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bl>
    <w:p>
      <w:pPr>
        <w:spacing w:after="0" w:before="200"/>
      </w:pPr>
    </w:p>
    <w:p>
      <w:pPr>
        <w:pStyle w:val="Heading1"/>
      </w:pPr>
      <w:r>
        <w:rPr>
          <w:rFonts w:ascii="Arial" w:cs="Arial" w:eastAsia="Arial" w:hAnsi="Arial"/>
          <w:b/>
          <w:bCs/>
          <w:color w:val="0B1D3A"/>
          <w:sz w:val="28"/>
          <w:szCs w:val="28"/>
        </w:rPr>
        <w:t xml:space="preserve">Version History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26"/>
        <w:gridCol w:w="1600"/>
        <w:gridCol w:w="1600"/>
      </w:tblGrid>
      <w:tr>
        <w:tc>
          <w:tcPr>
            <w:tcW w:type="dxa" w:w="12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Version</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c>
          <w:tcPr>
            <w:tcW w:type="dxa" w:w="30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Changes Made</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Author</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Approved By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Initial issue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r>
    </w:tbl>
    <w:p>
      <w:pPr>
        <w:spacing w:after="0" w:before="200"/>
      </w:pPr>
    </w:p>
    <w:p>
      <w:pPr>
        <w:pBdr>
          <w:bottom w:val="single" w:color="0B1D3A" w:sz="6" w:space="1"/>
        </w:pBdr>
        <w:spacing w:after="100" w:before="100"/>
      </w:pPr>
    </w:p>
    <w:p>
      <w:pPr>
        <w:spacing w:after="0" w:before="80"/>
      </w:pPr>
      <w:r>
        <w:rPr>
          <w:rFonts w:ascii="Arial" w:cs="Arial" w:eastAsia="Arial" w:hAnsi="Arial"/>
          <w:i/>
          <w:iCs/>
          <w:color w:val="999999"/>
          <w:sz w:val="16"/>
          <w:szCs w:val="16"/>
        </w:rPr>
        <w:t xml:space="preserve">Disclaimer: This risk assessment template is provided by Barker Scott Ltd as a general compliance resource for CQC-regulated private health clinics. It must be customised to reflect the specific hazards, operations, premises, and circumstances of [Insert Organisation Name]. Barker Scott Ltd accepts no liability for regulatory or health and safety outcomes arising from use of this template. Independent professional advice should be sought as appropriate.</w:t>
      </w:r>
    </w:p>
    <w:sectPr>
      <w:headerReference w:type="default" r:id="rId7"/>
      <w:footerReference w:type="default" r:id="rId8"/>
      <w:pgSz w:w="16838" w:h="11906" w:orient="1"/>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026"/>
      </w:tabs>
    </w:pPr>
    <w:r>
      <w:rPr>
        <w:rFonts w:ascii="Arial" w:cs="Arial" w:eastAsia="Arial" w:hAnsi="Arial"/>
        <w:color w:val="999999"/>
        <w:sz w:val="16"/>
        <w:szCs w:val="16"/>
      </w:rPr>
      <w:t xml:space="preserve">Ref: BS-PHC-RA-ME-007 | Version 1.0</w:t>
    </w:r>
    <w:r>
      <w:rPr>
        <w:rFonts w:ascii="Arial" w:cs="Arial" w:eastAsia="Arial" w:hAnsi="Arial"/>
        <w:color w:val="D4AF37"/>
        <w:sz w:val="16"/>
        <w:szCs w:val="16"/>
      </w:rPr>
      <w:t xml:space="preserve">	barker-scott.co.uk</w:t>
    </w:r>
  </w:p>
  <w:p>
    <w:pPr>
      <w:spacing w:after="0" w:before="40"/>
    </w:pPr>
    <w:r>
      <w:rPr>
        <w:rFonts w:ascii="Arial" w:cs="Arial" w:eastAsia="Arial" w:hAnsi="Arial"/>
        <w:i/>
        <w:iCs/>
        <w:color w:val="999999"/>
        <w:sz w:val="14"/>
        <w:szCs w:val="14"/>
      </w:rPr>
      <w:t xml:space="preserve">© Barker Scott Ltd. All rights reserved. Unauthorised reproduction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026"/>
      </w:tabs>
      <w:spacing w:after="0"/>
    </w:pPr>
    <w:r>
      <w:rPr>
        <w:rFonts w:ascii="Arial" w:cs="Arial" w:eastAsia="Arial" w:hAnsi="Arial"/>
        <w:b/>
        <w:bCs/>
        <w:color w:val="0B1D3A"/>
        <w:sz w:val="18"/>
        <w:szCs w:val="18"/>
      </w:rPr>
      <w:t xml:space="preserve">BARKER SCOTT</w:t>
    </w:r>
    <w:r>
      <w:rPr>
        <w:rFonts w:ascii="Arial" w:cs="Arial" w:eastAsia="Arial" w:hAnsi="Arial"/>
        <w:color w:val="999999"/>
        <w:sz w:val="16"/>
        <w:szCs w:val="16"/>
      </w:rPr>
      <w:t xml:space="preserve">	Risk Assessment: Medical Equipment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2026-05-15T09:24:55.380Z</dcterms:created>
  <dcterms:modified xsi:type="dcterms:W3CDTF">2026-05-15T09:24:55.380Z</dcterms:modified>
</cp:coreProperties>
</file>

<file path=docProps/custom.xml><?xml version="1.0" encoding="utf-8"?>
<Properties xmlns="http://schemas.openxmlformats.org/officeDocument/2006/custom-properties" xmlns:vt="http://schemas.openxmlformats.org/officeDocument/2006/docPropsVTypes"/>
</file>