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60"/>
        <w:jc w:val="center"/>
      </w:pPr>
      <w:r>
        <w:rPr>
          <w:rFonts w:ascii="Arial" w:cs="Arial" w:eastAsia="Arial" w:hAnsi="Arial"/>
          <w:b/>
          <w:bCs/>
          <w:color w:val="D4AF37"/>
          <w:sz w:val="28"/>
          <w:szCs w:val="28"/>
        </w:rPr>
        <w:t xml:space="preserve">RISK ASSESSMENT</w:t>
      </w:r>
    </w:p>
    <w:p>
      <w:pPr>
        <w:spacing w:after="100"/>
        <w:jc w:val="center"/>
      </w:pPr>
      <w:r>
        <w:rPr>
          <w:rFonts w:ascii="Arial" w:cs="Arial" w:eastAsia="Arial" w:hAnsi="Arial"/>
          <w:b/>
          <w:bCs/>
          <w:color w:val="0B1D3A"/>
          <w:sz w:val="38"/>
          <w:szCs w:val="38"/>
        </w:rPr>
        <w:t xml:space="preserve">Medicines Storage and Handling
Risk Assessment</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BS-PHC-RA-MED-003</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Medicines Storage and Handling
Risk Assessment</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BS-PHC-RA-MED-003</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Assessor:</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Role]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Organisation Name]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Location / Site: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Clinic Address]</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risk assessment identifies hazards associated with the procurement, storage, handling, administration, and disposal of medicines within [Insert Organisation Name]. It establishes control measures to ensure patient safety and regulatory compliance with Regulation 12 of the Health and Social Care Act 2008 (Regulated Activities) Regulations 2014, the Medicines Act 1968, the Misuse of Drugs Act 1971, and the Human Medicines Regulations 2012.</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assessment covers all prescription-only medicines (POMs), controlled drugs (CDs), pharmacy medicines (P), general sale list medicines (GSL), vaccines, and medical gases stored, handled, or administered at [Insert Organisation Name].</w:t>
      </w:r>
    </w:p>
    <w:p>
      <w:r>
        <w:br w:type="page"/>
      </w:r>
    </w:p>
    <w:p>
      <w:pPr>
        <w:pStyle w:val="Heading1"/>
      </w:pPr>
      <w:r>
        <w:rPr>
          <w:rFonts w:ascii="Arial" w:cs="Arial" w:eastAsia="Arial" w:hAnsi="Arial"/>
          <w:b/>
          <w:bCs/>
          <w:color w:val="0B1D3A"/>
          <w:sz w:val="28"/>
          <w:szCs w:val="28"/>
        </w:rPr>
        <w:t xml:space="preserve">Risk Assessment Matrix</w:t>
      </w:r>
    </w:p>
    <w:p>
      <w:pPr>
        <w:spacing w:after="120"/>
        <w:jc w:val="both"/>
      </w:pPr>
      <w:r>
        <w:rPr>
          <w:rFonts w:ascii="Arial" w:cs="Arial" w:eastAsia="Arial" w:hAnsi="Arial"/>
          <w:color w:val="333333"/>
          <w:sz w:val="22"/>
          <w:szCs w:val="22"/>
        </w:rPr>
        <w:t xml:space="preserve">Risk is calculated as Likelihood × Severity using the 5×5 risk matrix below. Initial risk is assessed before additional controls; residual risk is the rating after implementation of all additional control measures.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c>
          <w:tcPr>
            <w:tcW w:type="dxa" w:w="18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Likelihood ↓ / Severity →</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1
Negligible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2
Minor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3
Moderate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4
Major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5
Catastrophic</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 – Almost Certain</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 – Likely</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16</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 – Possible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9</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 – Unlikely</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 – Rare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r>
    </w:tbl>
    <w:p>
      <w:pPr>
        <w:spacing w:after="0" w:before="160"/>
      </w:pPr>
    </w:p>
    <w:p>
      <w:pPr>
        <w:pStyle w:val="Heading2"/>
      </w:pPr>
      <w:r>
        <w:rPr>
          <w:rFonts w:ascii="Arial" w:cs="Arial" w:eastAsia="Arial" w:hAnsi="Arial"/>
          <w:b/>
          <w:bCs/>
          <w:color w:val="0B1D3A"/>
          <w:sz w:val="24"/>
          <w:szCs w:val="24"/>
        </w:rPr>
        <w:t xml:space="preserve">Risk Rating Action Key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Score</w:t>
            </w:r>
          </w:p>
        </w:tc>
        <w:tc>
          <w:tcPr>
            <w:tcW w:type="dxa" w:w="2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Rating</w:t>
            </w:r>
          </w:p>
        </w:tc>
        <w:tc>
          <w:tcPr>
            <w:tcW w:type="dxa" w:w="5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Required Action</w:t>
            </w:r>
          </w:p>
        </w:tc>
      </w:tr>
      <w:tr>
        <w:tc>
          <w:tcPr>
            <w:tcW w:type="dxa" w:w="1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15–25</w:t>
            </w:r>
          </w:p>
        </w:tc>
        <w:tc>
          <w:tcPr>
            <w:tcW w:type="dxa" w:w="2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left"/>
            </w:pPr>
            <w:r>
              <w:rPr>
                <w:rFonts w:ascii="Arial" w:cs="Arial" w:eastAsia="Arial" w:hAnsi="Arial"/>
                <w:b/>
                <w:bCs/>
                <w:color w:val="C0392B"/>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Immediate action required. Escalate to Registered Manager and Clinical Lead. Consider suspending activity until controls are implemented.</w:t>
            </w:r>
          </w:p>
        </w:tc>
      </w:tr>
      <w:tr>
        <w:tc>
          <w:tcPr>
            <w:tcW w:type="dxa" w:w="1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8–12</w:t>
            </w:r>
          </w:p>
        </w:tc>
        <w:tc>
          <w:tcPr>
            <w:tcW w:type="dxa" w:w="2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left"/>
            </w:pPr>
            <w:r>
              <w:rPr>
                <w:rFonts w:ascii="Arial" w:cs="Arial" w:eastAsia="Arial" w:hAnsi="Arial"/>
                <w:b/>
                <w:bCs/>
                <w:color w:val="D354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Action required within defined timescale. Implement additional controls and monitor. Report to governance meeting.</w:t>
            </w:r>
          </w:p>
        </w:tc>
      </w:tr>
      <w:tr>
        <w:tc>
          <w:tcPr>
            <w:tcW w:type="dxa" w:w="1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4–6</w:t>
            </w:r>
          </w:p>
        </w:tc>
        <w:tc>
          <w:tcPr>
            <w:tcW w:type="dxa" w:w="2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left"/>
            </w:pPr>
            <w:r>
              <w:rPr>
                <w:rFonts w:ascii="Arial" w:cs="Arial" w:eastAsia="Arial" w:hAnsi="Arial"/>
                <w:b/>
                <w:bCs/>
                <w:color w:val="7D6608"/>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Manage by routine procedures and existing controls. Monitor for change. Review at scheduled intervals.</w:t>
            </w:r>
          </w:p>
        </w:tc>
      </w:tr>
      <w:tr>
        <w:tc>
          <w:tcPr>
            <w:tcW w:type="dxa" w:w="1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1–3</w:t>
            </w:r>
          </w:p>
        </w:tc>
        <w:tc>
          <w:tcPr>
            <w:tcW w:type="dxa" w:w="2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left"/>
            </w:pPr>
            <w:r>
              <w:rPr>
                <w:rFonts w:ascii="Arial" w:cs="Arial" w:eastAsia="Arial" w:hAnsi="Arial"/>
                <w:b/>
                <w:bCs/>
                <w:color w:val="1E8449"/>
                <w:sz w:val="20"/>
                <w:szCs w:val="20"/>
              </w:rPr>
              <w:t xml:space="preserve">VERY 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No additional action required. Maintain current controls. Include in routine review cycle.</w:t>
            </w:r>
          </w:p>
        </w:tc>
      </w:tr>
    </w:tbl>
    <w:p>
      <w:pPr>
        <w:spacing w:after="0" w:before="200"/>
      </w:pPr>
    </w:p>
    <w:p>
      <w:r>
        <w:br w:type="page"/>
      </w:r>
    </w:p>
    <w:p>
      <w:pPr>
        <w:pStyle w:val="Heading1"/>
      </w:pPr>
      <w:r>
        <w:rPr>
          <w:rFonts w:ascii="Arial" w:cs="Arial" w:eastAsia="Arial" w:hAnsi="Arial"/>
          <w:b/>
          <w:bCs/>
          <w:color w:val="0B1D3A"/>
          <w:sz w:val="28"/>
          <w:szCs w:val="28"/>
        </w:rPr>
        <w:t xml:space="preserve">Hazard Identification and Risk Register</w:t>
      </w:r>
    </w:p>
    <w:p>
      <w:pPr>
        <w:spacing w:after="120"/>
        <w:jc w:val="both"/>
      </w:pPr>
      <w:r>
        <w:rPr>
          <w:rFonts w:ascii="Arial" w:cs="Arial" w:eastAsia="Arial" w:hAnsi="Arial"/>
          <w:color w:val="333333"/>
          <w:sz w:val="22"/>
          <w:szCs w:val="22"/>
        </w:rPr>
        <w:t xml:space="preserve">L = Likelihood (1–5) | S = Severity (1–5) | Risk = L × S. Existing controls are currently in place; additional controls are recommended actions to reduce residual risk.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700"/>
        <w:gridCol w:w="1700"/>
        <w:gridCol w:w="400"/>
        <w:gridCol w:w="400"/>
        <w:gridCol w:w="450"/>
        <w:gridCol w:w="1700"/>
        <w:gridCol w:w="400"/>
        <w:gridCol w:w="400"/>
        <w:gridCol w:w="450"/>
        <w:gridCol w:w="926"/>
      </w:tblGrid>
      <w:tr>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Ref</w:t>
            </w:r>
          </w:p>
        </w:tc>
        <w:tc>
          <w:tcPr>
            <w:tcW w:type="dxa" w:w="11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Hazard / Risk</w:t>
            </w:r>
          </w:p>
        </w:tc>
        <w:tc>
          <w:tcPr>
            <w:tcW w:type="dxa" w:w="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Who is at 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Existing Control Measures</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Additional Control Measures Required</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9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Medication administration error (wrong drug, dose, route, patient, or time)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Five Rights verification protocol</w:t>
            </w:r>
          </w:p>
          <w:p>
            <w:pPr>
              <w:spacing w:after="40"/>
              <w:jc w:val="left"/>
            </w:pPr>
            <w:r>
              <w:rPr>
                <w:rFonts w:ascii="Arial" w:cs="Arial" w:eastAsia="Arial" w:hAnsi="Arial"/>
                <w:b w:val="false"/>
                <w:bCs w:val="false"/>
                <w:color w:val="333333"/>
                <w:sz w:val="16"/>
                <w:szCs w:val="16"/>
              </w:rPr>
              <w:t xml:space="preserve">Two-person ID check for high-risk medicines</w:t>
            </w:r>
          </w:p>
          <w:p>
            <w:pPr>
              <w:spacing w:after="0"/>
              <w:jc w:val="left"/>
            </w:pPr>
            <w:r>
              <w:rPr>
                <w:rFonts w:ascii="Arial" w:cs="Arial" w:eastAsia="Arial" w:hAnsi="Arial"/>
                <w:b w:val="false"/>
                <w:bCs w:val="false"/>
                <w:color w:val="333333"/>
                <w:sz w:val="16"/>
                <w:szCs w:val="16"/>
              </w:rPr>
              <w:t xml:space="preserve">Electronic prescribing where available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16"/>
                <w:szCs w:val="16"/>
              </w:rPr>
              <w:t xml:space="preserve">15</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Monthly prescribing audit</w:t>
            </w:r>
          </w:p>
          <w:p>
            <w:pPr>
              <w:spacing w:after="40"/>
              <w:jc w:val="left"/>
            </w:pPr>
            <w:r>
              <w:rPr>
                <w:rFonts w:ascii="Arial" w:cs="Arial" w:eastAsia="Arial" w:hAnsi="Arial"/>
                <w:b w:val="false"/>
                <w:bCs w:val="false"/>
                <w:color w:val="333333"/>
                <w:sz w:val="16"/>
                <w:szCs w:val="16"/>
              </w:rPr>
              <w:t xml:space="preserve">Implement barcode medication verification</w:t>
            </w:r>
          </w:p>
          <w:p>
            <w:pPr>
              <w:spacing w:after="0"/>
              <w:jc w:val="left"/>
            </w:pPr>
            <w:r>
              <w:rPr>
                <w:rFonts w:ascii="Arial" w:cs="Arial" w:eastAsia="Arial" w:hAnsi="Arial"/>
                <w:b w:val="false"/>
                <w:bCs w:val="false"/>
                <w:color w:val="333333"/>
                <w:sz w:val="16"/>
                <w:szCs w:val="16"/>
              </w:rPr>
              <w:t xml:space="preserve">Near-miss reporting actively encouraged and reviewed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Cold chain breach: vaccines or biologics stored outside 2–8°C</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Pharmaceutical-grade fridge with digital monitoring</w:t>
            </w:r>
          </w:p>
          <w:p>
            <w:pPr>
              <w:spacing w:after="40"/>
              <w:jc w:val="left"/>
            </w:pPr>
            <w:r>
              <w:rPr>
                <w:rFonts w:ascii="Arial" w:cs="Arial" w:eastAsia="Arial" w:hAnsi="Arial"/>
                <w:b w:val="false"/>
                <w:bCs w:val="false"/>
                <w:color w:val="333333"/>
                <w:sz w:val="16"/>
                <w:szCs w:val="16"/>
              </w:rPr>
              <w:t xml:space="preserve">Min/max temperature recorded daily</w:t>
            </w:r>
          </w:p>
          <w:p>
            <w:pPr>
              <w:spacing w:after="0"/>
              <w:jc w:val="left"/>
            </w:pPr>
            <w:r>
              <w:rPr>
                <w:rFonts w:ascii="Arial" w:cs="Arial" w:eastAsia="Arial" w:hAnsi="Arial"/>
                <w:b w:val="false"/>
                <w:bCs w:val="false"/>
                <w:color w:val="333333"/>
                <w:sz w:val="16"/>
                <w:szCs w:val="16"/>
              </w:rPr>
              <w:t xml:space="preserve">Cold chain breach procedure documented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12</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Continuous temperature logging system with automated alerts</w:t>
            </w:r>
          </w:p>
          <w:p>
            <w:pPr>
              <w:spacing w:after="40"/>
              <w:jc w:val="left"/>
            </w:pPr>
            <w:r>
              <w:rPr>
                <w:rFonts w:ascii="Arial" w:cs="Arial" w:eastAsia="Arial" w:hAnsi="Arial"/>
                <w:b w:val="false"/>
                <w:bCs w:val="false"/>
                <w:color w:val="333333"/>
                <w:sz w:val="16"/>
                <w:szCs w:val="16"/>
              </w:rPr>
              <w:t xml:space="preserve">Backup fridge available and tested</w:t>
            </w:r>
          </w:p>
          <w:p>
            <w:pPr>
              <w:spacing w:after="0"/>
              <w:jc w:val="left"/>
            </w:pPr>
            <w:r>
              <w:rPr>
                <w:rFonts w:ascii="Arial" w:cs="Arial" w:eastAsia="Arial" w:hAnsi="Arial"/>
                <w:b w:val="false"/>
                <w:bCs w:val="false"/>
                <w:color w:val="333333"/>
                <w:sz w:val="16"/>
                <w:szCs w:val="16"/>
              </w:rPr>
              <w:t xml:space="preserve">Annual fridge calibration certificate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Medicines Mgmt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Controlled drugs (CDs) diversion, theft, or misuse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Staff, Public</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Double-locked CD cupboard (Misuse of Drugs Safe Custody Regs 1973)</w:t>
            </w:r>
          </w:p>
          <w:p>
            <w:pPr>
              <w:spacing w:after="40"/>
              <w:jc w:val="left"/>
            </w:pPr>
            <w:r>
              <w:rPr>
                <w:rFonts w:ascii="Arial" w:cs="Arial" w:eastAsia="Arial" w:hAnsi="Arial"/>
                <w:b w:val="false"/>
                <w:bCs w:val="false"/>
                <w:color w:val="333333"/>
                <w:sz w:val="16"/>
                <w:szCs w:val="16"/>
              </w:rPr>
              <w:t xml:space="preserve">CD register maintained in ink</w:t>
            </w:r>
          </w:p>
          <w:p>
            <w:pPr>
              <w:spacing w:after="0"/>
              <w:jc w:val="left"/>
            </w:pPr>
            <w:r>
              <w:rPr>
                <w:rFonts w:ascii="Arial" w:cs="Arial" w:eastAsia="Arial" w:hAnsi="Arial"/>
                <w:b w:val="false"/>
                <w:bCs w:val="false"/>
                <w:color w:val="333333"/>
                <w:sz w:val="16"/>
                <w:szCs w:val="16"/>
              </w:rPr>
              <w:t xml:space="preserve">Weekly balance check by two signatories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Quarterly CD audit reconciliation</w:t>
            </w:r>
          </w:p>
          <w:p>
            <w:pPr>
              <w:spacing w:after="40"/>
              <w:jc w:val="left"/>
            </w:pPr>
            <w:r>
              <w:rPr>
                <w:rFonts w:ascii="Arial" w:cs="Arial" w:eastAsia="Arial" w:hAnsi="Arial"/>
                <w:b w:val="false"/>
                <w:bCs w:val="false"/>
                <w:color w:val="333333"/>
                <w:sz w:val="16"/>
                <w:szCs w:val="16"/>
              </w:rPr>
              <w:t xml:space="preserve">Access restricted to named authorised staff</w:t>
            </w:r>
          </w:p>
          <w:p>
            <w:pPr>
              <w:spacing w:after="0"/>
              <w:jc w:val="left"/>
            </w:pPr>
            <w:r>
              <w:rPr>
                <w:rFonts w:ascii="Arial" w:cs="Arial" w:eastAsia="Arial" w:hAnsi="Arial"/>
                <w:b w:val="false"/>
                <w:bCs w:val="false"/>
                <w:color w:val="333333"/>
                <w:sz w:val="16"/>
                <w:szCs w:val="16"/>
              </w:rPr>
              <w:t xml:space="preserve">Random stock checks introduced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Reg. Manager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Use of expired or recalled medicines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Monthly expiry date checks</w:t>
            </w:r>
          </w:p>
          <w:p>
            <w:pPr>
              <w:spacing w:after="40"/>
              <w:jc w:val="left"/>
            </w:pPr>
            <w:r>
              <w:rPr>
                <w:rFonts w:ascii="Arial" w:cs="Arial" w:eastAsia="Arial" w:hAnsi="Arial"/>
                <w:b w:val="false"/>
                <w:bCs w:val="false"/>
                <w:color w:val="333333"/>
                <w:sz w:val="16"/>
                <w:szCs w:val="16"/>
              </w:rPr>
              <w:t xml:space="preserve">First-expiry-first-out (FEFO) stock rotation</w:t>
            </w:r>
          </w:p>
          <w:p>
            <w:pPr>
              <w:spacing w:after="0"/>
              <w:jc w:val="left"/>
            </w:pPr>
            <w:r>
              <w:rPr>
                <w:rFonts w:ascii="Arial" w:cs="Arial" w:eastAsia="Arial" w:hAnsi="Arial"/>
                <w:b w:val="false"/>
                <w:bCs w:val="false"/>
                <w:color w:val="333333"/>
                <w:sz w:val="16"/>
                <w:szCs w:val="16"/>
              </w:rPr>
              <w:t xml:space="preserve">MHRA drug alerts monitored and actioned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Automated expiry tracking system</w:t>
            </w:r>
          </w:p>
          <w:p>
            <w:pPr>
              <w:spacing w:after="40"/>
              <w:jc w:val="left"/>
            </w:pPr>
            <w:r>
              <w:rPr>
                <w:rFonts w:ascii="Arial" w:cs="Arial" w:eastAsia="Arial" w:hAnsi="Arial"/>
                <w:b w:val="false"/>
                <w:bCs w:val="false"/>
                <w:color w:val="333333"/>
                <w:sz w:val="16"/>
                <w:szCs w:val="16"/>
              </w:rPr>
              <w:t xml:space="preserve">MHRA alert action log with sign-off</w:t>
            </w:r>
          </w:p>
          <w:p>
            <w:pPr>
              <w:spacing w:after="0"/>
              <w:jc w:val="left"/>
            </w:pPr>
            <w:r>
              <w:rPr>
                <w:rFonts w:ascii="Arial" w:cs="Arial" w:eastAsia="Arial" w:hAnsi="Arial"/>
                <w:b w:val="false"/>
                <w:bCs w:val="false"/>
                <w:color w:val="333333"/>
                <w:sz w:val="16"/>
                <w:szCs w:val="16"/>
              </w:rPr>
              <w:t xml:space="preserve">Quarterly stock level and expiry report</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Medicines Mgmt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Anaphylaxis or severe adverse drug reaction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Allergy check before every administration</w:t>
            </w:r>
          </w:p>
          <w:p>
            <w:pPr>
              <w:spacing w:after="40"/>
              <w:jc w:val="left"/>
            </w:pPr>
            <w:r>
              <w:rPr>
                <w:rFonts w:ascii="Arial" w:cs="Arial" w:eastAsia="Arial" w:hAnsi="Arial"/>
                <w:b w:val="false"/>
                <w:bCs w:val="false"/>
                <w:color w:val="333333"/>
                <w:sz w:val="16"/>
                <w:szCs w:val="16"/>
              </w:rPr>
              <w:t xml:space="preserve">Anaphylaxis kit available in all treatment rooms</w:t>
            </w:r>
          </w:p>
          <w:p>
            <w:pPr>
              <w:spacing w:after="0"/>
              <w:jc w:val="left"/>
            </w:pPr>
            <w:r>
              <w:rPr>
                <w:rFonts w:ascii="Arial" w:cs="Arial" w:eastAsia="Arial" w:hAnsi="Arial"/>
                <w:b w:val="false"/>
                <w:bCs w:val="false"/>
                <w:color w:val="333333"/>
                <w:sz w:val="16"/>
                <w:szCs w:val="16"/>
              </w:rPr>
              <w:t xml:space="preserve">All clinical staff trained in anaphylaxis management</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Anaphylaxis kit checked weekly and documented</w:t>
            </w:r>
          </w:p>
          <w:p>
            <w:pPr>
              <w:spacing w:after="40"/>
              <w:jc w:val="left"/>
            </w:pPr>
            <w:r>
              <w:rPr>
                <w:rFonts w:ascii="Arial" w:cs="Arial" w:eastAsia="Arial" w:hAnsi="Arial"/>
                <w:b w:val="false"/>
                <w:bCs w:val="false"/>
                <w:color w:val="333333"/>
                <w:sz w:val="16"/>
                <w:szCs w:val="16"/>
              </w:rPr>
              <w:t xml:space="preserve">Annual anaphylaxis drill</w:t>
            </w:r>
          </w:p>
          <w:p>
            <w:pPr>
              <w:spacing w:after="0"/>
              <w:jc w:val="left"/>
            </w:pPr>
            <w:r>
              <w:rPr>
                <w:rFonts w:ascii="Arial" w:cs="Arial" w:eastAsia="Arial" w:hAnsi="Arial"/>
                <w:b w:val="false"/>
                <w:bCs w:val="false"/>
                <w:color w:val="333333"/>
                <w:sz w:val="16"/>
                <w:szCs w:val="16"/>
              </w:rPr>
              <w:t xml:space="preserve">Yellow Card adverse reaction reporting to MHRA</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Unsafe disposal of pharmaceutical waste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Staff, Public, Environment</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Licensed pharmaceutical waste contractor</w:t>
            </w:r>
          </w:p>
          <w:p>
            <w:pPr>
              <w:spacing w:after="40"/>
              <w:jc w:val="left"/>
            </w:pPr>
            <w:r>
              <w:rPr>
                <w:rFonts w:ascii="Arial" w:cs="Arial" w:eastAsia="Arial" w:hAnsi="Arial"/>
                <w:b w:val="false"/>
                <w:bCs w:val="false"/>
                <w:color w:val="333333"/>
                <w:sz w:val="16"/>
                <w:szCs w:val="16"/>
              </w:rPr>
              <w:t xml:space="preserve">Separate bins for cytotoxic and non-cytotoxic waste</w:t>
            </w:r>
          </w:p>
          <w:p>
            <w:pPr>
              <w:spacing w:after="0"/>
              <w:jc w:val="left"/>
            </w:pPr>
            <w:r>
              <w:rPr>
                <w:rFonts w:ascii="Arial" w:cs="Arial" w:eastAsia="Arial" w:hAnsi="Arial"/>
                <w:b w:val="false"/>
                <w:bCs w:val="false"/>
                <w:color w:val="333333"/>
                <w:sz w:val="16"/>
                <w:szCs w:val="16"/>
              </w:rPr>
              <w:t xml:space="preserve">Waste transfer notes retained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Six-monthly waste audit</w:t>
            </w:r>
          </w:p>
          <w:p>
            <w:pPr>
              <w:spacing w:after="40"/>
              <w:jc w:val="left"/>
            </w:pPr>
            <w:r>
              <w:rPr>
                <w:rFonts w:ascii="Arial" w:cs="Arial" w:eastAsia="Arial" w:hAnsi="Arial"/>
                <w:b w:val="false"/>
                <w:bCs w:val="false"/>
                <w:color w:val="333333"/>
                <w:sz w:val="16"/>
                <w:szCs w:val="16"/>
              </w:rPr>
              <w:t xml:space="preserve">CD denaturing witnessed and documented</w:t>
            </w:r>
          </w:p>
          <w:p>
            <w:pPr>
              <w:spacing w:after="0"/>
              <w:jc w:val="left"/>
            </w:pPr>
            <w:r>
              <w:rPr>
                <w:rFonts w:ascii="Arial" w:cs="Arial" w:eastAsia="Arial" w:hAnsi="Arial"/>
                <w:b w:val="false"/>
                <w:bCs w:val="false"/>
                <w:color w:val="333333"/>
                <w:sz w:val="16"/>
                <w:szCs w:val="16"/>
              </w:rPr>
              <w:t xml:space="preserve">Staff refresher on waste classification annually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16"/>
                <w:szCs w:val="16"/>
              </w:rPr>
              <w:t xml:space="preserve">3</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3.7</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Prescribing outside scope of competence or without valid registration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Professional registration verified at recruitment (Regulation 19)</w:t>
            </w:r>
          </w:p>
          <w:p>
            <w:pPr>
              <w:spacing w:after="40"/>
              <w:jc w:val="left"/>
            </w:pPr>
            <w:r>
              <w:rPr>
                <w:rFonts w:ascii="Arial" w:cs="Arial" w:eastAsia="Arial" w:hAnsi="Arial"/>
                <w:b w:val="false"/>
                <w:bCs w:val="false"/>
                <w:color w:val="333333"/>
                <w:sz w:val="16"/>
                <w:szCs w:val="16"/>
              </w:rPr>
              <w:t xml:space="preserve">Prescribers’ scope of practice documented</w:t>
            </w:r>
          </w:p>
          <w:p>
            <w:pPr>
              <w:spacing w:after="0"/>
              <w:jc w:val="left"/>
            </w:pPr>
            <w:r>
              <w:rPr>
                <w:rFonts w:ascii="Arial" w:cs="Arial" w:eastAsia="Arial" w:hAnsi="Arial"/>
                <w:b w:val="false"/>
                <w:bCs w:val="false"/>
                <w:color w:val="333333"/>
                <w:sz w:val="16"/>
                <w:szCs w:val="16"/>
              </w:rPr>
              <w:t xml:space="preserve">Clinic formulary in place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registration verification audit</w:t>
            </w:r>
          </w:p>
          <w:p>
            <w:pPr>
              <w:spacing w:after="40"/>
              <w:jc w:val="left"/>
            </w:pPr>
            <w:r>
              <w:rPr>
                <w:rFonts w:ascii="Arial" w:cs="Arial" w:eastAsia="Arial" w:hAnsi="Arial"/>
                <w:b w:val="false"/>
                <w:bCs w:val="false"/>
                <w:color w:val="333333"/>
                <w:sz w:val="16"/>
                <w:szCs w:val="16"/>
              </w:rPr>
              <w:t xml:space="preserve">Prescribing competence reviewed at appraisal</w:t>
            </w:r>
          </w:p>
          <w:p>
            <w:pPr>
              <w:spacing w:after="0"/>
              <w:jc w:val="left"/>
            </w:pPr>
            <w:r>
              <w:rPr>
                <w:rFonts w:ascii="Arial" w:cs="Arial" w:eastAsia="Arial" w:hAnsi="Arial"/>
                <w:b w:val="false"/>
                <w:bCs w:val="false"/>
                <w:color w:val="333333"/>
                <w:sz w:val="16"/>
                <w:szCs w:val="16"/>
              </w:rPr>
              <w:t xml:space="preserve">PGD compliance audit annually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Reg. Manager</w:t>
            </w:r>
          </w:p>
        </w:tc>
      </w:tr>
    </w:tbl>
    <w:p>
      <w:pPr>
        <w:spacing w:after="0" w:before="20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Relevance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Social Care Act 2008 (Regulated Activities) Regs 2014, Reg 12</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care and treatment including medicines management</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Medicines Act 1968</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Regulation of manufacture, supply, and administration</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Misuse of Drugs Act 1971 &amp; Regulations 2001</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Controlled drug classification, handling, and record-keeping</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Misuse of Drugs (Safe Custody) Regulations 1973</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Physical storage requirements for CDs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Human Medicines Regulations 2012</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Prescribing, PGDs, and pharmacovigilance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Hazardous Waste (England and Wales) Regulations 2005</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Pharmaceutical waste disposal</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NICE Guideline NG5 – Medicines Optimisation</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and effective medicines use</w:t>
            </w:r>
          </w:p>
        </w:tc>
      </w:tr>
    </w:tbl>
    <w:p>
      <w:pPr>
        <w:spacing w:after="0" w:before="200"/>
      </w:pPr>
    </w:p>
    <w:p>
      <w:pPr>
        <w:pStyle w:val="Heading1"/>
      </w:pPr>
      <w:r>
        <w:rPr>
          <w:rFonts w:ascii="Arial" w:cs="Arial" w:eastAsia="Arial" w:hAnsi="Arial"/>
          <w:b/>
          <w:bCs/>
          <w:color w:val="0B1D3A"/>
          <w:sz w:val="28"/>
          <w:szCs w:val="28"/>
        </w:rPr>
        <w:t xml:space="preserve">Risk Assessment Approval and Sign-Off</w:t>
      </w:r>
    </w:p>
    <w:p>
      <w:pPr>
        <w:spacing w:after="120"/>
        <w:jc w:val="both"/>
      </w:pPr>
      <w:r>
        <w:rPr>
          <w:rFonts w:ascii="Arial" w:cs="Arial" w:eastAsia="Arial" w:hAnsi="Arial"/>
          <w:color w:val="333333"/>
          <w:sz w:val="22"/>
          <w:szCs w:val="22"/>
        </w:rPr>
        <w:t xml:space="preserve">This risk assessment has been reviewed and approved by the following authorised personnel. By signing below, each confirms they have read, understood, and agree to implement the control measures identified.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Health &amp; Safety Lead</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Approved By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risk assessment template is provided by Barker Scott Ltd as a general compliance resource for CQC-regulated private health clinics. It must be customised to reflect the specific hazards, operations, premises, and circumstances of [Insert Organisation Name]. Barker Scott Ltd accepts no liability for regulatory or health and safety outcomes arising from use of this template. Independent professional advice should be sought as appropriate.</w:t>
      </w:r>
    </w:p>
    <w:sectPr>
      <w:headerReference w:type="default" r:id="rId7"/>
      <w:footerReference w:type="default" r:id="rId8"/>
      <w:pgSz w:w="16838" w:h="11906" w:orient="1"/>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pPr>
    <w:r>
      <w:rPr>
        <w:rFonts w:ascii="Arial" w:cs="Arial" w:eastAsia="Arial" w:hAnsi="Arial"/>
        <w:color w:val="999999"/>
        <w:sz w:val="16"/>
        <w:szCs w:val="16"/>
      </w:rPr>
      <w:t xml:space="preserve">Ref: BS-PHC-RA-MED-003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Risk Assessment: Medicines Storage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2026-05-15T09:24:54.844Z</dcterms:created>
  <dcterms:modified xsi:type="dcterms:W3CDTF">2026-05-15T09:24:54.844Z</dcterms:modified>
</cp:coreProperties>
</file>

<file path=docProps/custom.xml><?xml version="1.0" encoding="utf-8"?>
<Properties xmlns="http://schemas.openxmlformats.org/officeDocument/2006/custom-properties" xmlns:vt="http://schemas.openxmlformats.org/officeDocument/2006/docPropsVTypes"/>
</file>