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B1D3A"/>
          <w:sz w:val="36"/>
          <w:szCs w:val="36"/>
        </w:rPr>
        <w:t xml:space="preserve">CARE HOME POLICY</w:t>
      </w:r>
    </w:p>
    <w:p>
      <w:pPr>
        <w:spacing w:after="60" w:before="0"/>
        <w:jc w:val="center"/>
      </w:pPr>
      <w:r>
        <w:rPr>
          <w:rFonts w:ascii="Arial" w:cs="Arial" w:eastAsia="Arial" w:hAnsi="Arial"/>
          <w:b/>
          <w:bCs/>
          <w:color w:val="D4AF37"/>
          <w:sz w:val="26"/>
          <w:szCs w:val="26"/>
        </w:rPr>
        <w:t xml:space="preserve">INFECTION PREVENTION &amp; CONTROL POLICY</w:t>
      </w:r>
    </w:p>
    <w:p>
      <w:pPr>
        <w:pBdr>
          <w:bottom w:val="single" w:color="D4AF37" w:sz="6" w:space="1"/>
        </w:pBdr>
        <w:spacing w:after="200" w:before="200"/>
      </w:pPr>
    </w:p>
    <w:p>
      <w:pPr>
        <w:spacing w:after="60" w:before="60"/>
      </w:pPr>
      <w:r>
        <w:rPr>
          <w:rFonts w:ascii="Arial" w:cs="Arial" w:eastAsia="Arial" w:hAnsi="Arial"/>
          <w:b/>
          <w:bCs/>
          <w:color w:val="0B1D3A"/>
          <w:sz w:val="21"/>
          <w:szCs w:val="21"/>
        </w:rPr>
        <w:t xml:space="preserve">Document Reference: </w:t>
      </w:r>
      <w:r>
        <w:rPr>
          <w:rFonts w:ascii="Arial" w:cs="Arial" w:eastAsia="Arial" w:hAnsi="Arial"/>
          <w:color w:val="333333"/>
          <w:sz w:val="21"/>
          <w:szCs w:val="21"/>
        </w:rPr>
        <w:t xml:space="preserve">BS-CHP-003</w:t>
      </w:r>
    </w:p>
    <w:p>
      <w:pPr>
        <w:spacing w:after="60" w:before="60"/>
      </w:pPr>
      <w:r>
        <w:rPr>
          <w:rFonts w:ascii="Arial" w:cs="Arial" w:eastAsia="Arial" w:hAnsi="Arial"/>
          <w:b/>
          <w:bCs/>
          <w:color w:val="0B1D3A"/>
          <w:sz w:val="21"/>
          <w:szCs w:val="21"/>
        </w:rPr>
        <w:t xml:space="preserve">Effective Date: </w:t>
      </w:r>
      <w:r>
        <w:rPr>
          <w:rFonts w:ascii="Arial" w:cs="Arial" w:eastAsia="Arial" w:hAnsi="Arial"/>
          <w:color w:val="333333"/>
          <w:sz w:val="21"/>
          <w:szCs w:val="21"/>
        </w:rPr>
        <w:t xml:space="preserve">[DD/MM/YYYY]</w:t>
      </w:r>
    </w:p>
    <w:p>
      <w:pPr>
        <w:spacing w:after="60" w:before="60"/>
      </w:pPr>
      <w:r>
        <w:rPr>
          <w:rFonts w:ascii="Arial" w:cs="Arial" w:eastAsia="Arial" w:hAnsi="Arial"/>
          <w:b/>
          <w:bCs/>
          <w:color w:val="0B1D3A"/>
          <w:sz w:val="21"/>
          <w:szCs w:val="21"/>
        </w:rPr>
        <w:t xml:space="preserve">Review Date: </w:t>
      </w:r>
      <w:r>
        <w:rPr>
          <w:rFonts w:ascii="Arial" w:cs="Arial" w:eastAsia="Arial" w:hAnsi="Arial"/>
          <w:color w:val="333333"/>
          <w:sz w:val="21"/>
          <w:szCs w:val="21"/>
        </w:rPr>
        <w:t xml:space="preserve">[DD/MM/YYYY] (or sooner if legislation/guidance changes)</w:t>
      </w:r>
    </w:p>
    <w:p>
      <w:pPr>
        <w:spacing w:after="60" w:before="60"/>
      </w:pPr>
      <w:r>
        <w:rPr>
          <w:rFonts w:ascii="Arial" w:cs="Arial" w:eastAsia="Arial" w:hAnsi="Arial"/>
          <w:b/>
          <w:bCs/>
          <w:color w:val="0B1D3A"/>
          <w:sz w:val="21"/>
          <w:szCs w:val="21"/>
        </w:rPr>
        <w:t xml:space="preserve">Author: </w:t>
      </w:r>
      <w:r>
        <w:rPr>
          <w:rFonts w:ascii="Arial" w:cs="Arial" w:eastAsia="Arial" w:hAnsi="Arial"/>
          <w:color w:val="333333"/>
          <w:sz w:val="21"/>
          <w:szCs w:val="21"/>
        </w:rPr>
        <w:t xml:space="preserve">[Insert Name]</w:t>
      </w:r>
    </w:p>
    <w:p>
      <w:pPr>
        <w:spacing w:after="60" w:before="60"/>
      </w:pPr>
      <w:r>
        <w:rPr>
          <w:rFonts w:ascii="Arial" w:cs="Arial" w:eastAsia="Arial" w:hAnsi="Arial"/>
          <w:b/>
          <w:bCs/>
          <w:color w:val="0B1D3A"/>
          <w:sz w:val="21"/>
          <w:szCs w:val="21"/>
        </w:rPr>
        <w:t xml:space="preserve">Approved By: </w:t>
      </w:r>
      <w:r>
        <w:rPr>
          <w:rFonts w:ascii="Arial" w:cs="Arial" w:eastAsia="Arial" w:hAnsi="Arial"/>
          <w:color w:val="333333"/>
          <w:sz w:val="21"/>
          <w:szCs w:val="21"/>
        </w:rPr>
        <w:t xml:space="preserve">[Insert Name], Registered Manager</w:t>
      </w:r>
    </w:p>
    <w:p>
      <w:pPr>
        <w:spacing w:after="60" w:before="60"/>
      </w:pPr>
      <w:r>
        <w:rPr>
          <w:rFonts w:ascii="Arial" w:cs="Arial" w:eastAsia="Arial" w:hAnsi="Arial"/>
          <w:b/>
          <w:bCs/>
          <w:color w:val="0B1D3A"/>
          <w:sz w:val="21"/>
          <w:szCs w:val="21"/>
        </w:rPr>
        <w:t xml:space="preserve">Home Name: </w:t>
      </w:r>
      <w:r>
        <w:rPr>
          <w:rFonts w:ascii="Arial" w:cs="Arial" w:eastAsia="Arial" w:hAnsi="Arial"/>
          <w:color w:val="333333"/>
          <w:sz w:val="21"/>
          <w:szCs w:val="21"/>
        </w:rPr>
        <w:t xml:space="preserve">[Insert Care Home Name]</w:t>
      </w:r>
    </w:p>
    <w:p>
      <w:pPr>
        <w:spacing w:after="60" w:before="60"/>
      </w:pPr>
      <w:r>
        <w:rPr>
          <w:rFonts w:ascii="Arial" w:cs="Arial" w:eastAsia="Arial" w:hAnsi="Arial"/>
          <w:b/>
          <w:bCs/>
          <w:color w:val="0B1D3A"/>
          <w:sz w:val="21"/>
          <w:szCs w:val="21"/>
        </w:rPr>
        <w:t xml:space="preserve">CQC Provider ID: </w:t>
      </w:r>
      <w:r>
        <w:rPr>
          <w:rFonts w:ascii="Arial" w:cs="Arial" w:eastAsia="Arial" w:hAnsi="Arial"/>
          <w:color w:val="333333"/>
          <w:sz w:val="21"/>
          <w:szCs w:val="21"/>
        </w:rPr>
        <w:t xml:space="preserve">[Insert Provider ID]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 Purpose</w:t>
      </w:r>
    </w:p>
    <w:p>
      <w:pPr>
        <w:spacing w:after="60" w:before="60"/>
      </w:pPr>
      <w:r>
        <w:rPr>
          <w:rFonts w:ascii="Arial" w:cs="Arial" w:eastAsia="Arial" w:hAnsi="Arial"/>
          <w:color w:val="333333"/>
          <w:sz w:val="21"/>
          <w:szCs w:val="21"/>
        </w:rPr>
        <w:t xml:space="preserve">This policy establishes the infection prevention and control (IPC) framework for [Insert Care Home Name], setting out the standards, procedures and responsibilities required to prevent and manage healthcare-associated infections (HCAIs), protect residents, staff, and visitors, and ensure compliance with CQC Regulation 12.</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2. Scope</w:t>
      </w:r>
    </w:p>
    <w:p>
      <w:pPr>
        <w:spacing w:after="60" w:before="60"/>
      </w:pPr>
      <w:r>
        <w:rPr>
          <w:rFonts w:ascii="Arial" w:cs="Arial" w:eastAsia="Arial" w:hAnsi="Arial"/>
          <w:color w:val="333333"/>
          <w:sz w:val="21"/>
          <w:szCs w:val="21"/>
        </w:rPr>
        <w:t xml:space="preserve">This policy applies to all staff, agency workers, volunteers, visitors, and contractors. It covers hand hygiene, PPE use, environmental cleaning, laundry management, clinical waste disposal, outbreak management, and the management of residents with known or suspected infections.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3. Legal &amp; Regulatory Framework</w:t>
      </w:r>
    </w:p>
    <w:p>
      <w:pPr>
        <w:spacing w:after="60" w:before="60"/>
      </w:pPr>
      <w:r>
        <w:rPr>
          <w:rFonts w:ascii="Arial" w:cs="Arial" w:eastAsia="Arial" w:hAnsi="Arial"/>
          <w:color w:val="333333"/>
          <w:sz w:val="21"/>
          <w:szCs w:val="21"/>
        </w:rPr>
        <w:t xml:space="preserve">Health and Social Care Act 2008 (Regulated Activities) Regulations 2014 – Regulation 12(2)(h) (assessing the risk of, and preventing, detecting and controlling the spread of, infections); The Health and Social Care Act 2008 Code of Practice on the Prevention and Control of Infections (the ‘Hygiene Code’) 2022; Control of Substances Hazardous to Health Regulations 2002 (COSHH); The Health Protection (Notification) Regulations 2010 (SI 2010/659); Environmental Protection Act 1990 – Section 34 (Duty of Care for waste); Hazardous Waste (England and Wales) Regulations 2005; Personal Protective Equipment at Work Regulations 1992; NICE Quality Standard QS61: Infection Prevention and Control (2014); UKHSA Guidance for the management of outbreaks in care homes.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4. IPC Lead</w:t>
      </w:r>
    </w:p>
    <w:p>
      <w:pPr>
        <w:spacing w:after="60" w:before="60"/>
      </w:pPr>
      <w:r>
        <w:rPr>
          <w:rFonts w:ascii="Arial" w:cs="Arial" w:eastAsia="Arial" w:hAnsi="Arial"/>
          <w:color w:val="333333"/>
          <w:sz w:val="21"/>
          <w:szCs w:val="21"/>
        </w:rPr>
        <w:t xml:space="preserve">The home must appoint a designated IPC Lead who is responsible for implementing this policy, conducting audits, providing staff training, managing outbreaks, and liaising with the local Health Protection Team (HPT). The IPC Lead is: [Insert Name and Job Title]. The IPC Lead must hold or be working towards a recognised IPC qualification and must have protected time to fulfil the role.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5. Hand Hygiene</w:t>
      </w:r>
    </w:p>
    <w:p>
      <w:pPr>
        <w:spacing w:after="60" w:before="60"/>
      </w:pPr>
      <w:r>
        <w:rPr>
          <w:rFonts w:ascii="Arial" w:cs="Arial" w:eastAsia="Arial" w:hAnsi="Arial"/>
          <w:color w:val="333333"/>
          <w:sz w:val="21"/>
          <w:szCs w:val="21"/>
        </w:rPr>
        <w:t xml:space="preserve">Hand hygiene is the single most important measure for preventing the spread of infection. All staff must perform hand hygiene in accordance with the WHO Five Moments for Hand Hygiene: before touching a resident, before a clean/aseptic procedure, after body fluid exposure risk, after touching a resident, and after touching resident surroundings. Alcohol-based hand rub (ABHR) must be available at every point of care. Hand washing with soap and water must be used when hands are visibly soiled, after caring for a resident with diarrhoea and/or vomiting, and after removing gloves. The bare below the elbows (BBE) policy applies in all clinical care areas. Hand hygiene audits must be conducted monthly with results displayed for staff.</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6. Personal Protective Equipment (PPE)</w:t>
      </w:r>
    </w:p>
    <w:p>
      <w:pPr>
        <w:spacing w:after="60" w:before="60"/>
      </w:pPr>
      <w:r>
        <w:rPr>
          <w:rFonts w:ascii="Arial" w:cs="Arial" w:eastAsia="Arial" w:hAnsi="Arial"/>
          <w:color w:val="333333"/>
          <w:sz w:val="21"/>
          <w:szCs w:val="21"/>
        </w:rPr>
        <w:t xml:space="preserve">PPE must be selected based on the assessed risk of the task being undertaken, not applied as a blanket measure. Disposable gloves and aprons must be worn for direct care involving contact with blood, body fluids, mucous membranes, or non-intact skin. PPE must be changed between residents and between different care tasks for the same resident. Fluid-resistant surgical masks (FRSMs) or FFP2/FFP3 respirators must be worn in accordance with current respiratory infection guidance and risk assessment. PPE must be disposed of as clinical waste immediately after use. The home must maintain a minimum 4-week stockpile of essential PPE.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7. Environmental Cleaning</w:t>
      </w:r>
    </w:p>
    <w:p>
      <w:pPr>
        <w:spacing w:after="60" w:before="60"/>
      </w:pPr>
      <w:r>
        <w:rPr>
          <w:rFonts w:ascii="Arial" w:cs="Arial" w:eastAsia="Arial" w:hAnsi="Arial"/>
          <w:color w:val="333333"/>
          <w:sz w:val="21"/>
          <w:szCs w:val="21"/>
        </w:rPr>
        <w:t xml:space="preserve">A documented cleaning schedule must be in place for all areas of the home, specifying frequency, method, and responsible person. High-touch surfaces (door handles, light switches, handrails, call bells, toilet flushes) must be cleaned at least twice daily. Treatment/clinical rooms must be cleaned between use. All cleaning products must be effective against the relevant pathogens and used in accordance with manufacturer instructions and COSHH assessments. Cleaning must be enhanced (increased frequency and/or use of chlorine-based products at 1,000 ppm) during outbreaks. Cleaning audits must be conducted monthly using a validated tool.</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8. Laundry Management</w:t>
      </w:r>
    </w:p>
    <w:p>
      <w:pPr>
        <w:spacing w:after="60" w:before="60"/>
      </w:pPr>
      <w:r>
        <w:rPr>
          <w:rFonts w:ascii="Arial" w:cs="Arial" w:eastAsia="Arial" w:hAnsi="Arial"/>
          <w:color w:val="333333"/>
          <w:sz w:val="21"/>
          <w:szCs w:val="21"/>
        </w:rPr>
        <w:t xml:space="preserve">Used linen must be handled with care to minimise aerosol generation. Soiled or infected linen must be placed in a water-soluble/alginate bag at the point of use, then into a red outer bag. Non-infected used linen must be placed in a white/clear bag. All linen must be laundered at a minimum of 65°C for 10 minutes or 71°C for 3 minutes (NHS thermal disinfection standards). The home’s laundry must maintain separation between clean and dirty workflows.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9. Clinical Waste Management</w:t>
      </w:r>
    </w:p>
    <w:p>
      <w:pPr>
        <w:spacing w:after="60" w:before="60"/>
      </w:pPr>
      <w:r>
        <w:rPr>
          <w:rFonts w:ascii="Arial" w:cs="Arial" w:eastAsia="Arial" w:hAnsi="Arial"/>
          <w:color w:val="333333"/>
          <w:sz w:val="21"/>
          <w:szCs w:val="21"/>
        </w:rPr>
        <w:t xml:space="preserve">Clinical waste must be segregated at the point of production using the colour-coded system: orange bags for infectious/potentially infectious waste requiring treatment; yellow bags with black stripe for offensive/hygiene waste not requiring treatment; yellow sharps containers for sharps; purple-lidded containers for cytotoxic/cytostatic waste. Domestic waste must be placed in black bags. The home must hold a valid waste management licence and use a licensed waste carrier. Waste transfer notes and consignment notes must be retained for 3 and 6 years respectively.</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10. Outbreak Management</w:t>
      </w:r>
    </w:p>
    <w:p>
      <w:pPr>
        <w:spacing w:after="60" w:before="60"/>
      </w:pPr>
      <w:r>
        <w:rPr>
          <w:rFonts w:ascii="Arial" w:cs="Arial" w:eastAsia="Arial" w:hAnsi="Arial"/>
          <w:color w:val="333333"/>
          <w:sz w:val="21"/>
          <w:szCs w:val="21"/>
        </w:rPr>
        <w:t xml:space="preserve">An outbreak is defined as two or more linked cases of infection in residents or staff within a defined time period. The IPC Lead must be notified immediately. The local Health Protection Team (HPT) must be notified by telephone on the same day. CQC must be notified via statutory notification. An Outbreak Control Team (OCT) meeting must be convened if directed by the HPT. Affected residents should be isolated or cohorted where possible. Enhanced cleaning must be implemented. Admissions may be restricted on the advice of the HPT. Detailed outbreak records must be maintained including a line list, timeline, and actions taken.</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11. Training</w:t>
      </w:r>
    </w:p>
    <w:p>
      <w:pPr>
        <w:spacing w:after="60" w:before="60"/>
      </w:pPr>
      <w:r>
        <w:rPr>
          <w:rFonts w:ascii="Arial" w:cs="Arial" w:eastAsia="Arial" w:hAnsi="Arial"/>
          <w:color w:val="333333"/>
          <w:sz w:val="21"/>
          <w:szCs w:val="21"/>
        </w:rPr>
        <w:t xml:space="preserve">All staff must complete IPC training at induction and at least annually thereafter. The IPC Lead must complete enhanced IPC training and maintain CPD. Training must cover hand hygiene, PPE, standard precautions, transmission-based precautions, clinical waste, and outbreak management. Training records must be maintained and available for CQC inspection.</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12. Monitoring &amp; Review</w:t>
      </w:r>
    </w:p>
    <w:p>
      <w:pPr>
        <w:spacing w:after="60" w:before="60"/>
      </w:pPr>
      <w:r>
        <w:rPr>
          <w:rFonts w:ascii="Arial" w:cs="Arial" w:eastAsia="Arial" w:hAnsi="Arial"/>
          <w:color w:val="333333"/>
          <w:sz w:val="21"/>
          <w:szCs w:val="21"/>
        </w:rPr>
        <w:t xml:space="preserve">IPC audits must be conducted monthly (hand hygiene, cleaning, PPE compliance). Results must be discussed at staff meetings and clinical governance meetings. An annual IPC report must be prepared and presented to the Responsible Individual. This policy must be reviewed at least annually or following a significant infection incident, outbreak, change in national guidance, or CQC inspection finding.</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13. Version Control</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106"/>
        <w:gridCol w:w="3000"/>
      </w:tblGrid>
      <w:tr>
        <w:tc>
          <w:tcPr>
            <w:tcW w:type="dxa" w:w="1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3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[DD/MM/YYYY]</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[Insert Name]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Initial issue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r>
    </w:tbl>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14. Sign-Off &amp; Approval</w:t>
      </w:r>
    </w:p>
    <w:p>
      <w:pPr>
        <w:spacing w:after="60" w:before="60"/>
      </w:pPr>
      <w:r>
        <w:rPr>
          <w:rFonts w:ascii="Arial" w:cs="Arial" w:eastAsia="Arial" w:hAnsi="Arial"/>
          <w:color w:val="333333"/>
          <w:sz w:val="21"/>
          <w:szCs w:val="21"/>
        </w:rPr>
        <w:t xml:space="preserve">This policy has been reviewed and approved by the undersigned. It shall be reviewed at least annually, or following any significant incident, regulatory change, or CQC inspection finding.</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Responsible Individual / Proprietor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Nurse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300"/>
      </w:pPr>
    </w:p>
    <w:p>
      <w:pPr>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506"/>
      </w:tabs>
      <w:spacing w:before="80"/>
    </w:pPr>
    <w:r>
      <w:rPr>
        <w:rFonts w:ascii="Arial" w:cs="Arial" w:eastAsia="Arial" w:hAnsi="Arial"/>
        <w:color w:val="0B1D3A"/>
        <w:sz w:val="16"/>
        <w:szCs w:val="16"/>
      </w:rPr>
      <w:t xml:space="preserve">BS-CHP-003</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rFonts w:ascii="Arial" w:cs="Arial" w:eastAsia="Arial" w:hAnsi="Arial"/>
        <w:b/>
        <w:bCs/>
        <w:color w:val="0B1D3A"/>
        <w:sz w:val="24"/>
        <w:szCs w:val="24"/>
      </w:rPr>
      <w:t xml:space="preserve">BARKER SCOTT</w:t>
    </w:r>
    <w:r>
      <w:rPr>
        <w:rFonts w:ascii="Arial" w:cs="Arial" w:eastAsia="Arial" w:hAnsi="Arial"/>
        <w:color w:val="D4AF37"/>
        <w:sz w:val="18"/>
        <w:szCs w:val="18"/>
      </w:rPr>
      <w:t xml:space="preserve">  |  </w:t>
    </w:r>
    <w:r>
      <w:rPr>
        <w:rFonts w:ascii="Arial" w:cs="Arial" w:eastAsia="Arial" w:hAnsi="Arial"/>
        <w:i/>
        <w:iCs/>
        <w:color w:val="D4AF37"/>
        <w:sz w:val="18"/>
        <w:szCs w:val="18"/>
      </w:rPr>
      <w:t xml:space="preserve">Care Home Policy</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2026-05-15T11:04:01.633Z</dcterms:created>
  <dcterms:modified xsi:type="dcterms:W3CDTF">2026-05-15T11:04:01.633Z</dcterms:modified>
</cp:coreProperties>
</file>

<file path=docProps/custom.xml><?xml version="1.0" encoding="utf-8"?>
<Properties xmlns="http://schemas.openxmlformats.org/officeDocument/2006/custom-properties" xmlns:vt="http://schemas.openxmlformats.org/officeDocument/2006/docPropsVTypes"/>
</file>