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drawing>
          <wp:inline distT="0" distB="0" distL="0" distR="0">
            <wp:extent cx="1152525" cy="1536700"/>
            <wp:effectExtent l="0" t="0" r="9525" b="0"/>
            <wp:docPr id="3" name="Рисунок 3" descr="Весняний набір дітей в Малу Компютерну Академію 20-02-2021 - Афіша  Тернополя - moemisto.u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Весняний набір дітей в Малу Компютерну Академію 20-02-2021 - Афіша  Тернополя - moemisto.u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245" cy="15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 работа</w:t>
      </w:r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Накопичувачі інформації</w:t>
      </w:r>
    </w:p>
    <w:p/>
    <w:p>
      <w:r>
        <w:t xml:space="preserve">Заповніть порівняльну таблицю накопичувачів. Підбір виконувати в однаково ціновому діапазоні (по 1 моделі HDD </w:t>
      </w:r>
      <w:r>
        <w:rPr>
          <w:lang w:val="uk-UA"/>
        </w:rPr>
        <w:t>або</w:t>
      </w:r>
      <w:r>
        <w:t xml:space="preserve"> SSD у кожному, починаючи з 2000 грн, потім у 3500 та 5000 грн).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670"/>
        <w:gridCol w:w="1265"/>
        <w:gridCol w:w="1317"/>
        <w:gridCol w:w="2264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shd w:val="clear" w:color="auto" w:fill="auto"/>
          </w:tcPr>
          <w:p>
            <w:pPr>
              <w:spacing w:after="0" w:line="240" w:lineRule="auto"/>
            </w:pPr>
            <w:r>
              <w:t xml:space="preserve">Модель </w:t>
            </w:r>
          </w:p>
        </w:tc>
        <w:tc>
          <w:tcPr>
            <w:tcW w:w="167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uk-UA"/>
              </w:rPr>
              <w:t>Виробник</w:t>
            </w:r>
            <w:r>
              <w:t xml:space="preserve"> 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Об’єм </w:t>
            </w:r>
          </w:p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пам’яті</w:t>
            </w:r>
          </w:p>
        </w:tc>
        <w:tc>
          <w:tcPr>
            <w:tcW w:w="1317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uk-UA"/>
              </w:rPr>
              <w:t>І</w:t>
            </w:r>
            <w:r>
              <w:t xml:space="preserve">нтерфейс </w:t>
            </w:r>
          </w:p>
        </w:tc>
        <w:tc>
          <w:tcPr>
            <w:tcW w:w="1401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Швідкість</w:t>
            </w:r>
          </w:p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Обертання </w:t>
            </w:r>
          </w:p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lang w:val="uk-UA"/>
              </w:rPr>
              <w:t>Шпинделя</w:t>
            </w:r>
            <w:r>
              <w:rPr>
                <w:rFonts w:hint="default"/>
                <w:lang w:val="uk-UA"/>
              </w:rPr>
              <w:t>/Швидкість зчитування та запису</w:t>
            </w:r>
          </w:p>
        </w:tc>
        <w:tc>
          <w:tcPr>
            <w:tcW w:w="1309" w:type="dxa"/>
            <w:shd w:val="clear" w:color="auto" w:fill="auto"/>
          </w:tcPr>
          <w:p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Вартість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Жорсткий диск WD Blue WD10EZEX</w:t>
            </w:r>
          </w:p>
        </w:tc>
        <w:tc>
          <w:tcPr>
            <w:tcW w:w="1670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Western Digital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 xml:space="preserve">1 </w:t>
            </w:r>
            <w:r>
              <w:rPr>
                <w:rFonts w:hint="default"/>
                <w:lang w:val="uk-UA"/>
              </w:rPr>
              <w:t>Тб</w:t>
            </w:r>
          </w:p>
        </w:tc>
        <w:tc>
          <w:tcPr>
            <w:tcW w:w="1317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 2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 3</w:t>
            </w:r>
          </w:p>
          <w:p>
            <w:pPr>
              <w:spacing w:after="0" w:line="240" w:lineRule="auto"/>
            </w:pPr>
          </w:p>
        </w:tc>
        <w:tc>
          <w:tcPr>
            <w:tcW w:w="140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Частота обертання шпинделя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7200 об/хв</w:t>
            </w:r>
          </w:p>
        </w:tc>
        <w:tc>
          <w:tcPr>
            <w:tcW w:w="1309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1400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SSD Samsung 980 PRO MZ-V8P500BW </w:t>
            </w:r>
          </w:p>
        </w:tc>
        <w:tc>
          <w:tcPr>
            <w:tcW w:w="1670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Samsung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 xml:space="preserve">512 </w:t>
            </w:r>
            <w:r>
              <w:rPr>
                <w:rFonts w:hint="default"/>
                <w:lang w:val="uk-UA"/>
              </w:rPr>
              <w:t>Гб</w:t>
            </w:r>
          </w:p>
        </w:tc>
        <w:tc>
          <w:tcPr>
            <w:tcW w:w="1317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Інтерфейс M.2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PCI-E 4.0 4x</w:t>
            </w:r>
          </w:p>
        </w:tc>
        <w:tc>
          <w:tcPr>
            <w:tcW w:w="1401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запису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5000 МБ/с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зчитування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6900 МБ/с</w:t>
            </w:r>
          </w:p>
        </w:tc>
        <w:tc>
          <w:tcPr>
            <w:tcW w:w="1309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3500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4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SSD Transcend 250S TS1TMTE250S</w:t>
            </w:r>
          </w:p>
        </w:tc>
        <w:tc>
          <w:tcPr>
            <w:tcW w:w="1670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Trancend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lang w:val="en-US"/>
              </w:rPr>
              <w:t xml:space="preserve">1 </w:t>
            </w:r>
            <w:r>
              <w:rPr>
                <w:rFonts w:hint="default"/>
                <w:lang w:val="uk-UA"/>
              </w:rPr>
              <w:t>Тб</w:t>
            </w:r>
          </w:p>
        </w:tc>
        <w:tc>
          <w:tcPr>
            <w:tcW w:w="1317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Інтерфейс M.2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PCI-E 4.0 4x</w:t>
            </w:r>
          </w:p>
        </w:tc>
        <w:tc>
          <w:tcPr>
            <w:tcW w:w="1401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запису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6200 МБ/с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зчитування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7200 МБ/с</w:t>
            </w:r>
          </w:p>
        </w:tc>
        <w:tc>
          <w:tcPr>
            <w:tcW w:w="1309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en-US"/>
              </w:rPr>
              <w:t xml:space="preserve">4100 </w:t>
            </w:r>
            <w:r>
              <w:rPr>
                <w:rFonts w:hint="default"/>
                <w:lang w:val="uk-UA"/>
              </w:rPr>
              <w:t>грн</w:t>
            </w:r>
          </w:p>
        </w:tc>
      </w:tr>
    </w:tbl>
    <w:p>
      <w:pPr>
        <w:rPr>
          <w:rFonts w:hint="default"/>
          <w:lang w:val="uk-UA"/>
        </w:rPr>
      </w:pPr>
      <w:r>
        <w:rPr>
          <w:rFonts w:hint="default"/>
          <w:lang w:val="uk-UA"/>
        </w:rPr>
        <w:t>Я б</w:t>
      </w:r>
      <w:r>
        <w:rPr>
          <w:rFonts w:hint="default"/>
          <w:lang w:val="ru-RU"/>
        </w:rPr>
        <w:t xml:space="preserve">и порекомендував узяти диск </w:t>
      </w:r>
      <w:r>
        <w:rPr>
          <w:rFonts w:hint="default"/>
          <w:lang w:val="uk-UA"/>
        </w:rPr>
        <w:t xml:space="preserve">від </w:t>
      </w:r>
      <w:r>
        <w:rPr>
          <w:rFonts w:hint="default"/>
          <w:lang w:val="en-US"/>
        </w:rPr>
        <w:t>Trancend (</w:t>
      </w:r>
      <w:r>
        <w:rPr>
          <w:rFonts w:hint="default"/>
        </w:rPr>
        <w:t>SSD Transcend 250S TS1TMTE250S</w:t>
      </w:r>
      <w:r>
        <w:rPr>
          <w:rFonts w:hint="default"/>
          <w:lang w:val="en-US"/>
        </w:rPr>
        <w:t>)</w:t>
      </w:r>
      <w:r>
        <w:rPr>
          <w:rFonts w:hint="default"/>
          <w:lang w:val="uk-UA"/>
        </w:rPr>
        <w:t>, адже він має досить великий об’єм та найбільшу швидкість запису та зчитування інформації серед всіх запропонованих мною дисків за відносно невелику ціну.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35"/>
    <w:rsid w:val="00046EEF"/>
    <w:rsid w:val="001C759F"/>
    <w:rsid w:val="002D52F5"/>
    <w:rsid w:val="00370735"/>
    <w:rsid w:val="005168C9"/>
    <w:rsid w:val="00593414"/>
    <w:rsid w:val="00B4052C"/>
    <w:rsid w:val="00BC5585"/>
    <w:rsid w:val="00CE0B3D"/>
    <w:rsid w:val="00D80053"/>
    <w:rsid w:val="00EB31BE"/>
    <w:rsid w:val="19DE4B93"/>
    <w:rsid w:val="5ACC6DD2"/>
    <w:rsid w:val="75E5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270</Words>
  <Characters>154</Characters>
  <Lines>1</Lines>
  <Paragraphs>1</Paragraphs>
  <TotalTime>3</TotalTime>
  <ScaleCrop>false</ScaleCrop>
  <LinksUpToDate>false</LinksUpToDate>
  <CharactersWithSpaces>423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2019-06-19T11:24:00Z</dcterms:created>
  <dc:creator>Юрий Самохвалов</dc:creator>
  <cp:lastModifiedBy>Антон Скляр</cp:lastModifiedBy>
  <dcterms:modified xsi:type="dcterms:W3CDTF">2023-05-22T10:13:03Z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F7716F573972491487033123E5638D1D</vt:lpwstr>
  </property>
</Properties>
</file>