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bidi w:val="0"/>
      </w:pPr>
      <w:r>
        <w:rPr>
          <w:rtl w:val="0"/>
        </w:rPr>
        <w:t>Ayush Sharma</w:t>
        <w:tab/>
      </w:r>
      <w:r>
        <w:rPr/>
        <w:fldChar w:fldCharType="begin" w:fldLock="0"/>
      </w:r>
      <w:r>
        <w:instrText xml:space="preserve"> DATE \@ "d MMMM y" </w:instrText>
      </w:r>
      <w:r>
        <w:rPr/>
        <w:fldChar w:fldCharType="separate" w:fldLock="0"/>
      </w:r>
      <w:r>
        <w:rPr>
          <w:rtl w:val="0"/>
        </w:rPr>
        <w:t>20 February 2018</w:t>
      </w:r>
      <w:r>
        <w:rPr/>
        <w:fldChar w:fldCharType="end" w:fldLock="1"/>
      </w:r>
    </w:p>
    <w:p>
      <w:pPr>
        <w:pStyle w:val="Header &amp; Footer"/>
        <w:bidi w:val="0"/>
      </w:pPr>
      <w:r>
        <w:rPr>
          <w:rtl w:val="0"/>
        </w:rPr>
        <w:t>(150123046)</w:t>
      </w:r>
    </w:p>
    <w:p>
      <w:pPr>
        <w:pStyle w:val="Header &amp; Footer"/>
        <w:bidi w:val="0"/>
      </w:pPr>
    </w:p>
    <w:p>
      <w:pPr>
        <w:pStyle w:val="Caption"/>
        <w:bidi w:val="0"/>
      </w:pPr>
      <w:r>
        <w:rPr>
          <w:rtl w:val="0"/>
        </w:rPr>
        <w:t>Question 1.</w:t>
      </w:r>
    </w:p>
    <w:p>
      <w:pPr>
        <w:pStyle w:val="Body"/>
        <w:spacing w:line="240" w:lineRule="auto"/>
      </w:pPr>
      <w:r>
        <w:rPr>
          <w:rtl w:val="0"/>
          <w:lang w:val="en-US"/>
        </w:rPr>
        <w:t>Plots for given data:</w:t>
      </w:r>
    </w:p>
    <w:p>
      <w:pPr>
        <w:pStyle w:val="Body"/>
        <w:numPr>
          <w:ilvl w:val="0"/>
          <w:numId w:val="2"/>
        </w:numPr>
        <w:spacing w:line="240" w:lineRule="auto"/>
      </w:pPr>
      <w:r>
        <w:drawing>
          <wp:inline distT="0" distB="0" distL="0" distR="0">
            <wp:extent cx="5016500" cy="35306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5016500" cy="3530600"/>
                    </a:xfrm>
                    <a:prstGeom prst="rect">
                      <a:avLst/>
                    </a:prstGeom>
                    <a:ln w="12700" cap="flat">
                      <a:noFill/>
                      <a:miter lim="400000"/>
                    </a:ln>
                    <a:effectLst/>
                  </pic:spPr>
                </pic:pic>
              </a:graphicData>
            </a:graphic>
          </wp:inline>
        </w:drawing>
      </w:r>
    </w:p>
    <w:p>
      <w:pPr>
        <w:pStyle w:val="Body"/>
        <w:numPr>
          <w:ilvl w:val="0"/>
          <w:numId w:val="2"/>
        </w:numPr>
        <w:spacing w:line="240" w:lineRule="auto"/>
      </w:pPr>
      <w:r>
        <w:drawing>
          <wp:inline distT="0" distB="0" distL="0" distR="0">
            <wp:extent cx="4521200" cy="30226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4521200" cy="3022600"/>
                    </a:xfrm>
                    <a:prstGeom prst="rect">
                      <a:avLst/>
                    </a:prstGeom>
                    <a:ln w="12700" cap="flat">
                      <a:noFill/>
                      <a:miter lim="400000"/>
                    </a:ln>
                    <a:effectLst/>
                  </pic:spPr>
                </pic:pic>
              </a:graphicData>
            </a:graphic>
          </wp:inline>
        </w:drawing>
      </w:r>
    </w:p>
    <w:p>
      <w:pPr>
        <w:pStyle w:val="Body"/>
        <w:spacing w:line="240" w:lineRule="auto"/>
      </w:pPr>
    </w:p>
    <w:p>
      <w:pPr>
        <w:pStyle w:val="Body"/>
        <w:spacing w:line="240" w:lineRule="auto"/>
      </w:pPr>
      <w:r>
        <w:rPr>
          <w:rtl w:val="0"/>
          <w:lang w:val="en-US"/>
        </w:rPr>
        <w:t xml:space="preserve">The </w:t>
      </w:r>
      <w:r>
        <w:rPr>
          <w:rtl w:val="0"/>
          <w:lang w:val="en-US"/>
        </w:rPr>
        <w:t>equation that these weights</w:t>
      </w:r>
      <w:r>
        <w:rPr>
          <w:rtl w:val="0"/>
          <w:lang w:val="en-US"/>
        </w:rPr>
        <w:t xml:space="preserve"> satisfy is </w:t>
      </w:r>
      <m:oMath>
        <m:r>
          <m:t>W=</m:t>
        </m:r>
        <m:sSub>
          <m:e>
            <m:r>
              <m:t>W</m:t>
            </m:r>
          </m:e>
          <m:sub>
            <m:r>
              <m:t>0</m:t>
            </m:r>
          </m:sub>
        </m:sSub>
        <m:r>
          <m:t>+t</m:t>
        </m:r>
        <m:limUpp>
          <m:e/>
          <m:lim>
            <m:r>
              <m:t>·</m:t>
            </m:r>
          </m:lim>
        </m:limUpp>
        <m:sSub>
          <m:e>
            <m:r>
              <m:t>d</m:t>
            </m:r>
          </m:e>
          <m:sub>
            <m:r>
              <m:t>W</m:t>
            </m:r>
          </m:sub>
        </m:sSub>
      </m:oMath>
      <w:r>
        <w:rPr>
          <w:rtl w:val="0"/>
          <w:lang w:val="en-US"/>
        </w:rPr>
        <w:t xml:space="preserve"> , where </w:t>
      </w:r>
      <m:oMath>
        <m:sSub>
          <m:e>
            <m:r>
              <m:t>W</m:t>
            </m:r>
          </m:e>
          <m:sub>
            <m:r>
              <m:t>0</m:t>
            </m:r>
          </m:sub>
        </m:sSub>
        <m:r>
          <m:t>=[0.32638532,0.43438532,0.23922936]</m:t>
        </m:r>
      </m:oMath>
      <w:r>
        <w:rPr>
          <w:rtl w:val="0"/>
          <w:lang w:val="en-US"/>
        </w:rPr>
        <w:t xml:space="preserve"> , </w:t>
      </w:r>
      <m:oMath>
        <m:sSub>
          <m:e>
            <m:r>
              <m:t>d</m:t>
            </m:r>
          </m:e>
          <m:sub>
            <m:r>
              <m:t>W</m:t>
            </m:r>
          </m:sub>
        </m:sSub>
        <m:r>
          <m:t>=[0.81083009,-0.32225298,-0.4885771]</m:t>
        </m:r>
      </m:oMath>
      <w:r>
        <w:rPr>
          <w:rtl w:val="0"/>
          <w:lang w:val="en-US"/>
        </w:rPr>
        <w:t xml:space="preserve"> , and </w:t>
      </w:r>
      <m:oMath>
        <m:r>
          <m:t>t∈</m:t>
        </m:r>
        <m:r>
          <m:rPr>
            <m:sty m:val="p"/>
            <m:scr m:val="double-struck"/>
          </m:rPr>
          <m:t>R</m:t>
        </m:r>
      </m:oMath>
      <w:r>
        <w:rPr>
          <w:rtl w:val="0"/>
          <w:lang w:val="en-US"/>
        </w:rPr>
        <w:t xml:space="preserve"> .</w:t>
      </w:r>
    </w:p>
    <w:p>
      <w:pPr>
        <w:pStyle w:val="Body"/>
        <w:spacing w:line="240" w:lineRule="auto"/>
      </w:pPr>
      <w:r>
        <w:rPr>
          <w:rFonts w:ascii="Arial Unicode MS" w:cs="Arial Unicode MS" w:hAnsi="Arial Unicode MS" w:eastAsia="Arial Unicode MS"/>
          <w:b w:val="0"/>
          <w:bCs w:val="0"/>
          <w:i w:val="0"/>
          <w:iCs w:val="0"/>
        </w:rPr>
        <w:br w:type="page"/>
      </w:r>
    </w:p>
    <w:p>
      <w:pPr>
        <w:pStyle w:val="Caption"/>
        <w:bidi w:val="0"/>
      </w:pPr>
      <w:r>
        <w:rPr>
          <w:rtl w:val="0"/>
        </w:rPr>
        <w:t>Question 2.</w:t>
      </w:r>
    </w:p>
    <w:p>
      <w:pPr>
        <w:pStyle w:val="Body"/>
        <w:spacing w:line="240" w:lineRule="auto"/>
      </w:pPr>
      <w:r>
        <w:rPr>
          <w:rtl w:val="0"/>
          <w:lang w:val="en-US"/>
        </w:rPr>
        <w:t>Symbols for securities/equities:</w:t>
      </w:r>
    </w:p>
    <w:p>
      <w:pPr>
        <w:pStyle w:val="Body"/>
        <w:numPr>
          <w:ilvl w:val="0"/>
          <w:numId w:val="3"/>
        </w:numPr>
        <w:spacing w:line="240" w:lineRule="auto"/>
        <w:rPr>
          <w:sz w:val="20"/>
          <w:szCs w:val="20"/>
          <w:lang w:val="en-US"/>
        </w:rPr>
      </w:pPr>
      <w:r>
        <w:rPr>
          <w:sz w:val="20"/>
          <w:szCs w:val="20"/>
          <w:rtl w:val="0"/>
          <w:lang w:val="en-US"/>
        </w:rPr>
        <w:t xml:space="preserve">BSE SENSEX: </w:t>
      </w:r>
      <w:r>
        <w:rPr>
          <w:sz w:val="20"/>
          <w:szCs w:val="20"/>
          <w:rtl w:val="0"/>
          <w:lang w:val="en-US"/>
        </w:rPr>
        <w:t>‘</w:t>
      </w:r>
      <w:r>
        <w:rPr>
          <w:sz w:val="20"/>
          <w:szCs w:val="20"/>
          <w:rtl w:val="0"/>
        </w:rPr>
        <w:t>^BSESN'</w:t>
      </w:r>
    </w:p>
    <w:p>
      <w:pPr>
        <w:pStyle w:val="Body"/>
        <w:numPr>
          <w:ilvl w:val="0"/>
          <w:numId w:val="3"/>
        </w:numPr>
        <w:spacing w:line="240" w:lineRule="auto"/>
        <w:rPr>
          <w:sz w:val="20"/>
          <w:szCs w:val="20"/>
          <w:lang w:val="en-US"/>
        </w:rPr>
      </w:pPr>
      <w:r>
        <w:rPr>
          <w:sz w:val="20"/>
          <w:szCs w:val="20"/>
          <w:rtl w:val="0"/>
          <w:lang w:val="en-US"/>
        </w:rPr>
        <w:t>BSE SENSEX Stocks:</w:t>
      </w:r>
    </w:p>
    <w:p>
      <w:pPr>
        <w:pStyle w:val="Body"/>
        <w:spacing w:line="240" w:lineRule="auto"/>
        <w:ind w:left="785"/>
        <w:rPr>
          <w:sz w:val="20"/>
          <w:szCs w:val="20"/>
        </w:rPr>
      </w:pPr>
      <w:r>
        <w:rPr>
          <w:sz w:val="20"/>
          <w:szCs w:val="20"/>
          <w:rtl w:val="0"/>
        </w:rPr>
        <w:t>'SBIN.BO','TATASTEEL.BO','LT.BO','RELIANCE.BO','INFY.BO','BHARTIARTL.BO','TCS.BO','TATAMOTORS.BO','SUNPHARMA.BO','ITC.BO'</w:t>
      </w:r>
    </w:p>
    <w:p>
      <w:pPr>
        <w:pStyle w:val="Body"/>
        <w:numPr>
          <w:ilvl w:val="0"/>
          <w:numId w:val="3"/>
        </w:numPr>
        <w:spacing w:line="240" w:lineRule="auto"/>
        <w:rPr>
          <w:sz w:val="20"/>
          <w:szCs w:val="20"/>
          <w:lang w:val="en-US"/>
        </w:rPr>
      </w:pPr>
      <w:r>
        <w:rPr>
          <w:sz w:val="20"/>
          <w:szCs w:val="20"/>
          <w:rtl w:val="0"/>
          <w:lang w:val="en-US"/>
        </w:rPr>
        <w:t>BSE Non-SENSEX Stocks:</w:t>
      </w:r>
    </w:p>
    <w:p>
      <w:pPr>
        <w:pStyle w:val="Body"/>
        <w:spacing w:line="240" w:lineRule="auto"/>
        <w:ind w:left="655"/>
        <w:rPr>
          <w:sz w:val="20"/>
          <w:szCs w:val="20"/>
        </w:rPr>
      </w:pPr>
      <w:r>
        <w:rPr>
          <w:sz w:val="20"/>
          <w:szCs w:val="20"/>
          <w:rtl w:val="0"/>
        </w:rPr>
        <w:t>'COLPAL.BO','BRITANNIA.BO','DLF.BO','HAVELLS.BO','DABUR.BO','HINDZINC.BO','PIDILITIND.BO','PGHH.BO','TATAPOWER.BO','CUMMINSIND.BO'</w:t>
      </w:r>
    </w:p>
    <w:p>
      <w:pPr>
        <w:pStyle w:val="Body"/>
        <w:numPr>
          <w:ilvl w:val="0"/>
          <w:numId w:val="3"/>
        </w:numPr>
        <w:spacing w:line="240" w:lineRule="auto"/>
        <w:rPr>
          <w:sz w:val="20"/>
          <w:szCs w:val="20"/>
          <w:lang w:val="fr-FR"/>
        </w:rPr>
      </w:pPr>
      <w:r>
        <w:rPr>
          <w:sz w:val="20"/>
          <w:szCs w:val="20"/>
          <w:rtl w:val="0"/>
          <w:lang w:val="fr-FR"/>
        </w:rPr>
        <w:t>NSE NIFTY50</w:t>
      </w:r>
      <w:r>
        <w:rPr>
          <w:sz w:val="20"/>
          <w:szCs w:val="20"/>
          <w:rtl w:val="0"/>
          <w:lang w:val="en-US"/>
        </w:rPr>
        <w:t xml:space="preserve">: </w:t>
      </w:r>
      <w:r>
        <w:rPr>
          <w:sz w:val="20"/>
          <w:szCs w:val="20"/>
          <w:rtl w:val="0"/>
        </w:rPr>
        <w:t>'^NSEI'</w:t>
      </w:r>
    </w:p>
    <w:p>
      <w:pPr>
        <w:pStyle w:val="Body"/>
        <w:numPr>
          <w:ilvl w:val="0"/>
          <w:numId w:val="3"/>
        </w:numPr>
        <w:spacing w:line="240" w:lineRule="auto"/>
        <w:rPr>
          <w:sz w:val="20"/>
          <w:szCs w:val="20"/>
          <w:lang w:val="en-US"/>
        </w:rPr>
      </w:pPr>
      <w:r>
        <w:rPr>
          <w:sz w:val="20"/>
          <w:szCs w:val="20"/>
          <w:rtl w:val="0"/>
          <w:lang w:val="en-US"/>
        </w:rPr>
        <w:t>NSE NIFTY50 Stocks:</w:t>
      </w:r>
    </w:p>
    <w:p>
      <w:pPr>
        <w:pStyle w:val="Body"/>
        <w:spacing w:line="240" w:lineRule="auto"/>
        <w:ind w:left="785"/>
        <w:rPr>
          <w:sz w:val="20"/>
          <w:szCs w:val="20"/>
        </w:rPr>
      </w:pPr>
      <w:r>
        <w:rPr>
          <w:sz w:val="20"/>
          <w:szCs w:val="20"/>
          <w:rtl w:val="0"/>
        </w:rPr>
        <w:t>'SBIN.NS','TATASTEEL.NS','LT.NS','RELIANCE.NS','INFY.NS','BHARTIARTL.NS','TCS.NS','TATAMOTORS.NS','SUNPHARMA.NS','ITC.NS'</w:t>
      </w:r>
    </w:p>
    <w:p>
      <w:pPr>
        <w:pStyle w:val="Body"/>
        <w:numPr>
          <w:ilvl w:val="0"/>
          <w:numId w:val="3"/>
        </w:numPr>
        <w:spacing w:line="240" w:lineRule="auto"/>
        <w:rPr>
          <w:sz w:val="20"/>
          <w:szCs w:val="20"/>
          <w:lang w:val="en-US"/>
        </w:rPr>
      </w:pPr>
      <w:r>
        <w:rPr>
          <w:sz w:val="20"/>
          <w:szCs w:val="20"/>
          <w:rtl w:val="0"/>
          <w:lang w:val="en-US"/>
        </w:rPr>
        <w:t>BSE Non-SENSEX Stocks:</w:t>
      </w:r>
    </w:p>
    <w:p>
      <w:pPr>
        <w:pStyle w:val="Body"/>
        <w:spacing w:line="240" w:lineRule="auto"/>
        <w:ind w:left="655"/>
        <w:rPr>
          <w:sz w:val="20"/>
          <w:szCs w:val="20"/>
        </w:rPr>
      </w:pPr>
      <w:r>
        <w:rPr>
          <w:sz w:val="20"/>
          <w:szCs w:val="20"/>
          <w:rtl w:val="0"/>
          <w:lang w:val="en-US"/>
        </w:rPr>
        <w:t>‘</w:t>
      </w:r>
      <w:r>
        <w:rPr>
          <w:sz w:val="20"/>
          <w:szCs w:val="20"/>
          <w:rtl w:val="0"/>
        </w:rPr>
        <w:t>COLPAL.NS','BRITANNIA.NS','DLF.NS','HAVELLS.NS','DABUR.NS','HINDZINC.NS','PIDILITIND.NS','PGHH.NS','TATAPOWER.NS','CUMMINSIND.NS'</w:t>
      </w:r>
    </w:p>
    <w:p>
      <w:pPr>
        <w:pStyle w:val="Body"/>
        <w:spacing w:line="240" w:lineRule="auto"/>
      </w:pPr>
    </w:p>
    <w:p>
      <w:pPr>
        <w:pStyle w:val="Body"/>
        <w:spacing w:line="240" w:lineRule="auto"/>
      </w:pPr>
      <w:r>
        <w:rPr>
          <w:rtl w:val="0"/>
          <w:lang w:val="en-US"/>
        </w:rPr>
        <w:t>Plots for the given data:</w:t>
      </w:r>
    </w:p>
    <w:p>
      <w:pPr>
        <w:pStyle w:val="Body"/>
        <w:numPr>
          <w:ilvl w:val="0"/>
          <w:numId w:val="4"/>
        </w:numPr>
        <w:spacing w:line="240" w:lineRule="auto"/>
      </w:pPr>
      <w:r>
        <w:drawing>
          <wp:inline distT="0" distB="0" distL="0" distR="0">
            <wp:extent cx="4940300" cy="35306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4940300" cy="3530600"/>
                    </a:xfrm>
                    <a:prstGeom prst="rect">
                      <a:avLst/>
                    </a:prstGeom>
                    <a:ln w="12700" cap="flat">
                      <a:noFill/>
                      <a:miter lim="400000"/>
                    </a:ln>
                    <a:effectLst/>
                  </pic:spPr>
                </pic:pic>
              </a:graphicData>
            </a:graphic>
          </wp:inline>
        </w:drawing>
      </w:r>
    </w:p>
    <w:p>
      <w:pPr>
        <w:pStyle w:val="Body"/>
        <w:spacing w:line="240" w:lineRule="auto"/>
      </w:pPr>
      <w:r>
        <w:rPr>
          <w:rtl w:val="0"/>
        </w:rPr>
        <w:tab/>
        <w:t>Considering</w:t>
      </w:r>
      <w:r>
        <w:rPr>
          <w:rtl w:val="0"/>
          <w:lang w:val="en-US"/>
        </w:rPr>
        <w:t>, BSE SENSEX index as market portfolio it can be said that the assets not in the index tend to give higher returns with lesser (also, read slightly) volatility than that of index (here, market portfolio) in comparison to the assets in the index.</w:t>
      </w:r>
    </w:p>
    <w:p>
      <w:pPr>
        <w:pStyle w:val="Body"/>
        <w:numPr>
          <w:ilvl w:val="0"/>
          <w:numId w:val="2"/>
        </w:numPr>
        <w:spacing w:line="240" w:lineRule="auto"/>
      </w:pPr>
      <w:r>
        <w:drawing>
          <wp:inline distT="0" distB="0" distL="0" distR="0">
            <wp:extent cx="4940300" cy="35306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7">
                      <a:extLst/>
                    </a:blip>
                    <a:stretch>
                      <a:fillRect/>
                    </a:stretch>
                  </pic:blipFill>
                  <pic:spPr>
                    <a:xfrm>
                      <a:off x="0" y="0"/>
                      <a:ext cx="4940300" cy="3530600"/>
                    </a:xfrm>
                    <a:prstGeom prst="rect">
                      <a:avLst/>
                    </a:prstGeom>
                    <a:ln w="12700" cap="flat">
                      <a:noFill/>
                      <a:miter lim="400000"/>
                    </a:ln>
                    <a:effectLst/>
                  </pic:spPr>
                </pic:pic>
              </a:graphicData>
            </a:graphic>
          </wp:inline>
        </w:drawing>
      </w:r>
    </w:p>
    <w:p>
      <w:pPr>
        <w:pStyle w:val="Body"/>
        <w:spacing w:line="240" w:lineRule="auto"/>
      </w:pPr>
      <w:r>
        <w:rPr>
          <w:rtl w:val="0"/>
        </w:rPr>
        <w:tab/>
        <w:t>Considering</w:t>
      </w:r>
      <w:r>
        <w:rPr>
          <w:rtl w:val="0"/>
        </w:rPr>
        <w:t xml:space="preserve">, </w:t>
      </w:r>
      <w:r>
        <w:rPr>
          <w:rtl w:val="0"/>
          <w:lang w:val="en-US"/>
        </w:rPr>
        <w:t>NSE NIFTY 50</w:t>
      </w:r>
      <w:r>
        <w:rPr>
          <w:rtl w:val="0"/>
          <w:lang w:val="en-US"/>
        </w:rPr>
        <w:t xml:space="preserve"> index as market portfolio it can be said that the assets not in the index tend to give higher returns with lesser (also, read slightly) volatility than that of index (here, market portfolio) in comparison to the assets in the index.</w:t>
      </w:r>
    </w:p>
    <w:sectPr>
      <w:headerReference w:type="default" r:id="rId8"/>
      <w:footerReference w:type="default" r:id="rId9"/>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406"/>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t>3</w:t>
    </w:r>
    <w:r>
      <w:rPr/>
      <w:fldChar w:fldCharType="end" w:fldLock="0"/>
    </w:r>
    <w:r>
      <w:rPr>
        <w:rtl w:val="0"/>
        <w:lang w:val="en-US"/>
      </w:rPr>
      <w:t xml:space="preserve"> of </w:t>
    </w:r>
    <w:r>
      <w:rPr/>
      <w:fldChar w:fldCharType="begin" w:fldLock="0"/>
    </w:r>
    <w:r>
      <w:instrText xml:space="preserve"> NUMPAGES </w:instrTex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406"/>
        <w:tab w:val="clear" w:pos="9020"/>
      </w:tabs>
      <w:jc w:val="left"/>
    </w:pPr>
    <w:r>
      <w:rPr>
        <w:rtl w:val="0"/>
        <w:lang w:val="en-US"/>
      </w:rPr>
      <w:t>Assignment Report</w:t>
    </w:r>
    <w:r>
      <w:rPr>
        <w:rtl w:val="0"/>
      </w:rPr>
      <w:tab/>
      <w:tab/>
      <w:t>MA-374 - Financial Engineering Lab</w:t>
    </w:r>
    <w:r>
      <w:rPr>
        <w:rtl w:val="0"/>
        <w:lang w:val="en-US"/>
      </w:rPr>
      <w:t xml:space="preserve"> 05</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Harvard"/>
  </w:abstractNum>
  <w:abstractNum w:abstractNumId="1">
    <w:multiLevelType w:val="hybridMultilevel"/>
    <w:styleLink w:val="Harvard"/>
    <w:lvl w:ilvl="0">
      <w:start w:val="1"/>
      <w:numFmt w:val="upperRoman"/>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upperRoman"/>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Harvard">
    <w:name w:val="Harvar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