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5000"/>
          <w:sz w:val="46"/>
        </w:rPr>
        <w:t>MANU PROTOCOL — FORENSIC CTF DOSSIER</w:t>
      </w:r>
    </w:p>
    <w:p>
      <w:pPr>
        <w:jc w:val="center"/>
      </w:pPr>
      <w:r>
        <w:rPr>
          <w:b/>
          <w:color w:val="0A6E8A"/>
          <w:sz w:val="30"/>
        </w:rPr>
        <w:t>SEC-03  ·  SEC-04  ·  SEC-05</w:t>
      </w:r>
    </w:p>
    <w:p>
      <w:pPr>
        <w:jc w:val="center"/>
      </w:pPr>
      <w:r>
        <w:rPr>
          <w:i/>
          <w:color w:val="555555"/>
          <w:sz w:val="22"/>
        </w:rPr>
        <w:t>Storyline, Exact Question, Flag Format and Flag</w:t>
      </w:r>
    </w:p>
    <w:p/>
    <w:tbl>
      <w:tblPr>
        <w:tblStyle w:val="TableGrid"/>
        <w:tblW w:type="auto" w:w="0"/>
        <w:tblLook w:firstColumn="1" w:firstRow="1" w:lastColumn="0" w:lastRow="0" w:noHBand="0" w:noVBand="1" w:val="04A0"/>
      </w:tblPr>
      <w:tblGrid>
        <w:gridCol w:w="9936"/>
      </w:tblGrid>
      <w:tr>
        <w:tc>
          <w:tcPr>
            <w:tcW w:type="dxa" w:w="9936"/>
            <w:shd w:val="clear" w:fill="FDF3E7"/>
          </w:tcPr>
          <w:p>
            <w:r>
              <w:rPr>
                <w:b/>
                <w:color w:val="C05000"/>
                <w:sz w:val="19"/>
              </w:rPr>
              <w:t>SCOPE — all three sectors sit INSIDE the Forensics Evidence Vault (the Orange Zone). None of these CTFs transitions the player into the Research act. Research is a later act of the storyline and is deliberately out of scope here.</w:t>
            </w:r>
          </w:p>
        </w:tc>
      </w:tr>
    </w:tbl>
    <w:p>
      <w:pPr>
        <w:spacing w:after="40"/>
      </w:pPr>
    </w:p>
    <w:p>
      <w:pPr>
        <w:spacing w:after="160"/>
      </w:pPr>
      <w:r>
        <w:rPr>
          <w:b w:val="0"/>
          <w:i w:val="0"/>
        </w:rPr>
        <w:t>Setting: the Orange Zone is a quarantined city emptied by the Reaper Strain, a pathogen that kills its host and restarts it as a reanimated body that keeps moving but loses cognition. The living survivors are the residents of Sanctuary Zero. The reanimated are the turned. The three sectors below are the middle of the Forensics act, where the group stops recovering present-day Community and Radio records and starts reconstructing the vault itself.</w:t>
      </w:r>
    </w:p>
    <w:p>
      <w:pPr>
        <w:spacing w:after="120"/>
      </w:pPr>
      <w:r>
        <w:rPr>
          <w:b w:val="0"/>
          <w:i/>
          <w:color w:val="555555"/>
          <w:sz w:val="19"/>
        </w:rPr>
        <w:t>Prepared for internal review. Every flag and artifact in this dossier was independently re-verified during preparation — results in Section 5, including two defects that must be fixed before these sectors ship.</w:t>
      </w:r>
    </w:p>
    <w:p>
      <w:r>
        <w:br w:type="page"/>
      </w:r>
    </w:p>
    <w:p>
      <w:pPr>
        <w:pStyle w:val="Heading1"/>
      </w:pPr>
      <w:r>
        <w:rPr>
          <w:color w:val="C05000"/>
        </w:rPr>
        <w:t>1. Where These Three Sectors Sit</w:t>
      </w:r>
    </w:p>
    <w:p>
      <w:pPr>
        <w:spacing w:after="120"/>
      </w:pPr>
      <w:r>
        <w:rPr>
          <w:b w:val="0"/>
          <w:i w:val="0"/>
        </w:rPr>
        <w:t>The full Forensics arc runs SEC-01 through SEC-05. SEC-01 establishes the vault breach and SEC-02 restores one true pre-Sanctuary identity. This dossier covers the remaining three, which do a different job: they establish that the archive was tampered with, that the tamper was probably protective rather than malicious, and that a named human is responsible for at least part of it.</w:t>
      </w:r>
    </w:p>
    <w:p>
      <w:pPr>
        <w:spacing w:after="120"/>
      </w:pPr>
      <w:r>
        <w:rPr>
          <w:b w:val="0"/>
          <w:i w:val="0"/>
        </w:rPr>
        <w:t>All three remain inside the sealed vault complex. The story movement is inward and downward through archive infrastructure — diagnostics, manifest storage, and the certification vault — not outward into a new sector of the city.</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FBE9DA"/>
          </w:tcPr>
          <w:p>
            <w:r/>
            <w:r>
              <w:rPr>
                <w:b/>
                <w:color w:val="C05000"/>
                <w:sz w:val="18"/>
              </w:rPr>
              <w:t>Sector</w:t>
            </w:r>
          </w:p>
        </w:tc>
        <w:tc>
          <w:tcPr>
            <w:tcW w:type="dxa" w:w="2484"/>
            <w:shd w:val="clear" w:fill="FBE9DA"/>
          </w:tcPr>
          <w:p>
            <w:r/>
            <w:r>
              <w:rPr>
                <w:b/>
                <w:color w:val="C05000"/>
                <w:sz w:val="18"/>
              </w:rPr>
              <w:t>Facility</w:t>
            </w:r>
          </w:p>
        </w:tc>
        <w:tc>
          <w:tcPr>
            <w:tcW w:type="dxa" w:w="2484"/>
            <w:shd w:val="clear" w:fill="FBE9DA"/>
          </w:tcPr>
          <w:p>
            <w:r/>
            <w:r>
              <w:rPr>
                <w:b/>
                <w:color w:val="C05000"/>
                <w:sz w:val="18"/>
              </w:rPr>
              <w:t>Narrative job</w:t>
            </w:r>
          </w:p>
        </w:tc>
        <w:tc>
          <w:tcPr>
            <w:tcW w:type="dxa" w:w="2484"/>
            <w:shd w:val="clear" w:fill="FBE9DA"/>
          </w:tcPr>
          <w:p>
            <w:r/>
            <w:r>
              <w:rPr>
                <w:b/>
                <w:color w:val="C05000"/>
                <w:sz w:val="18"/>
              </w:rPr>
              <w:t>Flag</w:t>
            </w:r>
          </w:p>
        </w:tc>
      </w:tr>
      <w:tr>
        <w:tc>
          <w:tcPr>
            <w:tcW w:type="dxa" w:w="2484"/>
          </w:tcPr>
          <w:p>
            <w:r/>
            <w:r>
              <w:rPr>
                <w:rFonts w:ascii="Consolas" w:hAnsi="Consolas"/>
                <w:sz w:val="16"/>
              </w:rPr>
              <w:t>SEC-03</w:t>
            </w:r>
          </w:p>
        </w:tc>
        <w:tc>
          <w:tcPr>
            <w:tcW w:type="dxa" w:w="2484"/>
          </w:tcPr>
          <w:p>
            <w:r/>
            <w:r>
              <w:rPr>
                <w:sz w:val="16"/>
              </w:rPr>
              <w:t>PRALAYA Diagnostic Core</w:t>
            </w:r>
          </w:p>
        </w:tc>
        <w:tc>
          <w:tcPr>
            <w:tcW w:type="dxa" w:w="2484"/>
          </w:tcPr>
          <w:p>
            <w:r/>
            <w:r>
              <w:rPr>
                <w:sz w:val="16"/>
              </w:rPr>
              <w:t>Reveals what the archive was built to measure, and why that measurement is triage.</w:t>
            </w:r>
          </w:p>
        </w:tc>
        <w:tc>
          <w:tcPr>
            <w:tcW w:type="dxa" w:w="2484"/>
          </w:tcPr>
          <w:p>
            <w:r/>
            <w:r>
              <w:rPr>
                <w:rFonts w:ascii="Consolas" w:hAnsi="Consolas"/>
                <w:b/>
                <w:color w:val="0A6E8A"/>
                <w:sz w:val="16"/>
              </w:rPr>
              <w:t>MANU{HLTHX_STRSS_IMMNX_NAVGX_TEAMX}</w:t>
            </w:r>
          </w:p>
        </w:tc>
      </w:tr>
      <w:tr>
        <w:tc>
          <w:tcPr>
            <w:tcW w:type="dxa" w:w="2484"/>
          </w:tcPr>
          <w:p>
            <w:r/>
            <w:r>
              <w:rPr>
                <w:rFonts w:ascii="Consolas" w:hAnsi="Consolas"/>
                <w:sz w:val="16"/>
              </w:rPr>
              <w:t>SEC-04</w:t>
            </w:r>
          </w:p>
        </w:tc>
        <w:tc>
          <w:tcPr>
            <w:tcW w:type="dxa" w:w="2484"/>
          </w:tcPr>
          <w:p>
            <w:r/>
            <w:r>
              <w:rPr>
                <w:sz w:val="16"/>
              </w:rPr>
              <w:t>Civic Transfer Manifest Registry</w:t>
            </w:r>
          </w:p>
        </w:tc>
        <w:tc>
          <w:tcPr>
            <w:tcW w:type="dxa" w:w="2484"/>
          </w:tcPr>
          <w:p>
            <w:r/>
            <w:r>
              <w:rPr>
                <w:sz w:val="16"/>
              </w:rPr>
              <w:t>Proves the vault was edited after sealing, and that the edit protected subjects.</w:t>
            </w:r>
          </w:p>
        </w:tc>
        <w:tc>
          <w:tcPr>
            <w:tcW w:type="dxa" w:w="2484"/>
          </w:tcPr>
          <w:p>
            <w:r/>
            <w:r>
              <w:rPr>
                <w:rFonts w:ascii="Consolas" w:hAnsi="Consolas"/>
                <w:b/>
                <w:color w:val="0A6E8A"/>
                <w:sz w:val="16"/>
              </w:rPr>
              <w:t>MANU{manifest_chunk_3.csv_dfeb2880}</w:t>
            </w:r>
          </w:p>
        </w:tc>
      </w:tr>
      <w:tr>
        <w:tc>
          <w:tcPr>
            <w:tcW w:type="dxa" w:w="2484"/>
          </w:tcPr>
          <w:p>
            <w:r/>
            <w:r>
              <w:rPr>
                <w:rFonts w:ascii="Consolas" w:hAnsi="Consolas"/>
                <w:sz w:val="16"/>
              </w:rPr>
              <w:t>SEC-05</w:t>
            </w:r>
          </w:p>
        </w:tc>
        <w:tc>
          <w:tcPr>
            <w:tcW w:type="dxa" w:w="2484"/>
          </w:tcPr>
          <w:p>
            <w:r/>
            <w:r>
              <w:rPr>
                <w:sz w:val="16"/>
              </w:rPr>
              <w:t>Research Evaluation Quarantine Wing</w:t>
            </w:r>
          </w:p>
        </w:tc>
        <w:tc>
          <w:tcPr>
            <w:tcW w:type="dxa" w:w="2484"/>
          </w:tcPr>
          <w:p>
            <w:r/>
            <w:r>
              <w:rPr>
                <w:sz w:val="16"/>
              </w:rPr>
              <w:t>Names the first human actor in the archive and times his intervention.</w:t>
            </w:r>
          </w:p>
        </w:tc>
        <w:tc>
          <w:tcPr>
            <w:tcW w:type="dxa" w:w="2484"/>
          </w:tcPr>
          <w:p>
            <w:r/>
            <w:r>
              <w:rPr>
                <w:rFonts w:ascii="Consolas" w:hAnsi="Consolas"/>
                <w:b/>
                <w:color w:val="0A6E8A"/>
                <w:sz w:val="16"/>
              </w:rPr>
              <w:t>MANU{Dr.Aris_Thorne_1430}</w:t>
            </w:r>
          </w:p>
        </w:tc>
      </w:tr>
    </w:tbl>
    <w:p/>
    <w:p>
      <w:pPr>
        <w:pStyle w:val="Heading2"/>
      </w:pPr>
      <w:r>
        <w:rPr>
          <w:color w:val="0A6E8A"/>
        </w:rPr>
        <w:t>1.1 How the infected-city theme binds these three</w:t>
      </w:r>
    </w:p>
    <w:p>
      <w:pPr>
        <w:pStyle w:val="ListBullet"/>
        <w:spacing w:after="60"/>
        <w:ind w:left="360"/>
      </w:pPr>
      <w:r>
        <w:t>SEC-03 decrypts the archive's own screening schema, and one of its axes is immunity. In a city where the Reaper Strain decides who turns, a records office that measures immune resistance is a triage instrument. The player learns Sanctuary Zero was curated for survival, not gathered by chance.</w:t>
      </w:r>
    </w:p>
    <w:p>
      <w:pPr>
        <w:pStyle w:val="ListBullet"/>
        <w:spacing w:after="60"/>
        <w:ind w:left="360"/>
      </w:pPr>
      <w:r>
        <w:t>SEC-04 concerns the quarantine transfer manifest — the record of who was physically moved out of the sealed city wards. The tampered chunk holds the highest-exposure subjects, the people the pathogen reached hardest.</w:t>
      </w:r>
    </w:p>
    <w:p>
      <w:pPr>
        <w:pStyle w:val="ListBullet"/>
        <w:spacing w:after="60"/>
        <w:ind w:left="360"/>
      </w:pPr>
      <w:r>
        <w:t>SEC-05 is a certification for a long-term exposure observation study. The exposure in question is Reaper Strain exposure. The certificate documents an experiment run on living people inside the quarantine.</w:t>
      </w:r>
    </w:p>
    <w:p>
      <w:pPr>
        <w:pStyle w:val="ListBullet"/>
        <w:spacing w:after="60"/>
        <w:ind w:left="360"/>
      </w:pPr>
      <w:r>
        <w:t>Across all three, the technical skill is the player's only way of reading what the archive was doing to the people inside it. No challenge here is a generic exercise imported from outside the fiction.</w:t>
      </w:r>
    </w:p>
    <w:p>
      <w:r>
        <w:br w:type="page"/>
      </w:r>
    </w:p>
    <w:p>
      <w:pPr>
        <w:pStyle w:val="Heading1"/>
      </w:pPr>
      <w:r>
        <w:rPr>
          <w:color w:val="C05000"/>
        </w:rPr>
        <w:t>2. SEC-03 — PRALAYA Diagnostic Core</w:t>
      </w:r>
    </w:p>
    <w:p>
      <w:pPr>
        <w:spacing w:after="40"/>
      </w:pPr>
      <w:r>
        <w:rPr>
          <w:b/>
          <w:color w:val="555555"/>
          <w:sz w:val="19"/>
        </w:rPr>
        <w:t xml:space="preserve">Sector tag:  </w:t>
      </w:r>
      <w:r>
        <w:rPr>
          <w:rFonts w:ascii="Consolas" w:hAnsi="Consolas"/>
          <w:b/>
          <w:sz w:val="20"/>
        </w:rPr>
        <w:t>SEC-03 / RECORD-INTEGRITY</w:t>
      </w:r>
    </w:p>
    <w:p>
      <w:pPr>
        <w:spacing w:after="40"/>
      </w:pPr>
      <w:r>
        <w:rPr>
          <w:b/>
          <w:color w:val="555555"/>
          <w:sz w:val="19"/>
        </w:rPr>
        <w:t xml:space="preserve">Skill:  </w:t>
      </w:r>
      <w:r>
        <w:rPr>
          <w:rFonts w:ascii="Consolas" w:hAnsi="Consolas"/>
          <w:b/>
          <w:sz w:val="20"/>
        </w:rPr>
        <w:t>Vigenère decryption</w:t>
      </w:r>
    </w:p>
    <w:p>
      <w:pPr>
        <w:spacing w:after="40"/>
      </w:pPr>
      <w:r>
        <w:rPr>
          <w:b/>
          <w:color w:val="555555"/>
          <w:sz w:val="19"/>
        </w:rPr>
        <w:t xml:space="preserve">Difficulty:  </w:t>
      </w:r>
      <w:r>
        <w:rPr>
          <w:rFonts w:ascii="Consolas" w:hAnsi="Consolas"/>
          <w:b/>
          <w:sz w:val="20"/>
        </w:rPr>
        <w:t>Intermediate</w:t>
      </w:r>
    </w:p>
    <w:p>
      <w:pPr>
        <w:spacing w:after="40"/>
      </w:pPr>
      <w:r>
        <w:rPr>
          <w:b/>
          <w:color w:val="555555"/>
          <w:sz w:val="19"/>
        </w:rPr>
        <w:t xml:space="preserve">Artifact:  </w:t>
      </w:r>
      <w:r>
        <w:rPr>
          <w:rFonts w:ascii="Consolas" w:hAnsi="Consolas"/>
          <w:b/>
          <w:sz w:val="20"/>
        </w:rPr>
        <w:t>/public/images/artifacts/b3_crypto.svg</w:t>
      </w:r>
    </w:p>
    <w:p>
      <w:pPr>
        <w:spacing w:after="40"/>
      </w:pPr>
      <w:r>
        <w:rPr>
          <w:b/>
          <w:color w:val="555555"/>
          <w:sz w:val="19"/>
        </w:rPr>
        <w:t xml:space="preserve">Unlocks:  </w:t>
      </w:r>
      <w:r>
        <w:rPr>
          <w:b/>
          <w:sz w:val="20"/>
        </w:rPr>
        <w:t>Fragment 3 — records HIST_181 to HIST_270</w:t>
      </w:r>
    </w:p>
    <w:p>
      <w:pPr>
        <w:spacing w:after="40"/>
      </w:pPr>
      <w:r>
        <w:rPr>
          <w:b/>
          <w:i w:val="0"/>
        </w:rPr>
        <w:t>Exact question (verbatim from the game)</w:t>
      </w:r>
    </w:p>
    <w:p>
      <w:pPr>
        <w:spacing w:after="120" w:before="40"/>
        <w:ind w:left="288"/>
      </w:pPr>
      <w:r>
        <w:rPr>
          <w:rFonts w:ascii="Consolas" w:hAnsi="Consolas"/>
          <w:sz w:val="18"/>
        </w:rPr>
        <w:t>"Submit the decrypted feature tokens wrapped in MANU{...} to unlock Dataset</w:t>
        <w:br/>
        <w:t xml:space="preserve"> Fragment 3 (Records HIST_181 to HIST_270)."</w:t>
      </w:r>
    </w:p>
    <w:p>
      <w:pPr>
        <w:spacing w:after="40"/>
      </w:pPr>
      <w:r>
        <w:rPr>
          <w:b/>
          <w:i w:val="0"/>
        </w:rPr>
        <w:t>Flag format</w:t>
      </w:r>
    </w:p>
    <w:p>
      <w:pPr>
        <w:spacing w:after="120" w:before="40"/>
        <w:ind w:left="288"/>
      </w:pPr>
      <w:r>
        <w:rPr>
          <w:rFonts w:ascii="Consolas" w:hAnsi="Consolas"/>
          <w:sz w:val="18"/>
        </w:rPr>
        <w:t>MANU{HLTHX_STRSS_IMMNX_NAVGX_TEAMX}</w:t>
        <w:br/>
        <w:br/>
        <w:t xml:space="preserve">  HLTHX   -&gt;  Health_Status_Score</w:t>
        <w:br/>
        <w:t xml:space="preserve">  STRSS   -&gt;  Stress_Level</w:t>
        <w:br/>
        <w:t xml:space="preserve">  IMMNX   -&gt;  Immunity_Score</w:t>
        <w:br/>
        <w:t xml:space="preserve">  NAVGX   -&gt;  Navigation_Skill</w:t>
        <w:br/>
        <w:t xml:space="preserve">  TEAMX   -&gt;  Teamwork_Score</w:t>
        <w:br/>
        <w:br/>
        <w:t xml:space="preserve">  Five tokens, underscore-separated, inside the MANU{} wrapper.</w:t>
        <w:br/>
        <w:t xml:space="preserve">  The trailing X on every token is a literal character, not a wildcard.</w:t>
      </w:r>
    </w:p>
    <w:p>
      <w:pPr>
        <w:spacing w:after="40"/>
      </w:pPr>
      <w:r>
        <w:rPr>
          <w:b/>
          <w:i w:val="0"/>
        </w:rPr>
        <w:t>Flag</w:t>
      </w:r>
    </w:p>
    <w:p>
      <w:pPr>
        <w:spacing w:after="40"/>
      </w:pPr>
      <w:r>
        <w:rPr>
          <w:b/>
          <w:color w:val="555555"/>
          <w:sz w:val="19"/>
        </w:rPr>
        <w:t xml:space="preserve">    </w:t>
      </w:r>
      <w:r>
        <w:rPr>
          <w:rFonts w:ascii="Consolas" w:hAnsi="Consolas"/>
          <w:b/>
          <w:color w:val="0A6E8A"/>
          <w:sz w:val="20"/>
        </w:rPr>
        <w:t>MANU{HLTHX_STRSS_IMMNX_NAVGX_TEAMX}</w:t>
      </w:r>
    </w:p>
    <w:p>
      <w:pPr>
        <w:pStyle w:val="Heading2"/>
      </w:pPr>
      <w:r>
        <w:rPr>
          <w:color w:val="0A6E8A"/>
        </w:rPr>
        <w:t>2.1 Storyline</w:t>
      </w:r>
    </w:p>
    <w:p>
      <w:pPr>
        <w:spacing w:after="120"/>
      </w:pPr>
      <w:r>
        <w:rPr>
          <w:b w:val="0"/>
          <w:i w:val="0"/>
        </w:rPr>
        <w:t>Inside the vault diagnostic core sits a ciphertext that is not evidence at all — it is instrumentation. PRALAYA sealed its own screening schema under its own name. Decrypting it does not reveal a person. It reveals the five axes on which MANU decided who was worth keeping alive.</w:t>
      </w:r>
    </w:p>
    <w:p>
      <w:pPr>
        <w:spacing w:after="120"/>
      </w:pPr>
      <w:r>
        <w:rPr>
          <w:b w:val="0"/>
          <w:i w:val="0"/>
        </w:rPr>
        <w:t>Immunity is where the infected-city theme becomes load-bearing. The Reaper Strain decides who turns and who does not, so an archive that measures immune resistance is not doing paperwork — it is ranking people by how long they are likely to remain themselves. The player comes out of this CTF understanding that Sanctuary Zero's population was selected for survival, and that selection happened long before anyone woke up inside it.</w:t>
      </w:r>
    </w:p>
    <w:p>
      <w:pPr>
        <w:spacing w:after="120"/>
      </w:pPr>
      <w:r>
        <w:rPr>
          <w:b w:val="0"/>
          <w:i w:val="0"/>
        </w:rPr>
        <w:t>This also settles the ambiguity running through the vault. The storyline is explicit that alterations here were protective, not sabotage: PRALAYA split identifiers and split files across separate city systems so that a compromised evacuation network could not use complete identity information to locate living survivors and expose them to the turned. The same protocol that erased the residents' memories is the reason the residents were not hunted.</w:t>
      </w:r>
    </w:p>
    <w:p>
      <w:pPr>
        <w:pStyle w:val="Heading2"/>
      </w:pPr>
      <w:r>
        <w:rPr>
          <w:color w:val="0A6E8A"/>
        </w:rPr>
        <w:t>2.2 Solution path</w:t>
      </w:r>
    </w:p>
    <w:p>
      <w:pPr>
        <w:pStyle w:val="ListNumber"/>
        <w:spacing w:after="60"/>
        <w:ind w:left="360"/>
      </w:pPr>
      <w:r>
        <w:t>Read the encrypted feature list from the evidence panel: ciphertext WCTSX QTGJS TMKNM EAGGV TTRMI.</w:t>
      </w:r>
    </w:p>
    <w:p>
      <w:pPr>
        <w:pStyle w:val="ListNumber"/>
        <w:spacing w:after="60"/>
        <w:ind w:left="360"/>
      </w:pPr>
      <w:r>
        <w:t>Identify the cipher as Vigenère. The key is named in the briefing and repeated across the whole protocol lore: PRALAYA, seven letters.</w:t>
      </w:r>
    </w:p>
    <w:p>
      <w:pPr>
        <w:pStyle w:val="ListNumber"/>
        <w:spacing w:after="60"/>
        <w:ind w:left="360"/>
      </w:pPr>
      <w:r>
        <w:t>Decrypt each five-letter block, advancing the key one letter per ciphertext character and not counting spaces.</w:t>
      </w:r>
    </w:p>
    <w:p>
      <w:pPr>
        <w:pStyle w:val="ListNumber"/>
        <w:spacing w:after="60"/>
        <w:ind w:left="360"/>
      </w:pPr>
      <w:r>
        <w:t>Resolve the five plaintext tokens against the feature dictionary in the storyline appendix.</w:t>
      </w:r>
    </w:p>
    <w:p>
      <w:pPr>
        <w:pStyle w:val="ListNumber"/>
        <w:spacing w:after="60"/>
        <w:ind w:left="360"/>
      </w:pPr>
      <w:r>
        <w:t>Join with underscores inside the MANU{} wrapper.</w:t>
      </w:r>
    </w:p>
    <w:p>
      <w:pPr>
        <w:pStyle w:val="Heading2"/>
      </w:pPr>
      <w:r>
        <w:rPr>
          <w:color w:val="C05000"/>
        </w:rPr>
        <w:t>2.3 Defect found and corrected</w:t>
      </w:r>
    </w:p>
    <w:p>
      <w:pPr>
        <w:spacing w:after="120"/>
      </w:pPr>
      <w:r>
        <w:rPr>
          <w:b/>
          <w:i w:val="0"/>
          <w:color w:val="C05000"/>
        </w:rPr>
        <w:t>A defect was found during verification: the previously shipped ciphertext did not decrypt to the registered flag. This has been corrected in lib/challenges.ts. The record is kept here because the answer key and the artifact must stay in agreement.</w:t>
      </w:r>
    </w:p>
    <w:p>
      <w:pPr>
        <w:spacing w:after="120"/>
      </w:pPr>
      <w:r>
        <w:rPr>
          <w:b w:val="0"/>
          <w:i w:val="0"/>
        </w:rPr>
        <w:t>Decrypting WPITX JHVWW MYVVR BKZJX XREMX with key PRALAYA produces HYIIX LHGFW BYXVC KKOJZ XCNMM — not HLTHX STRSS IMMNX NAVGX TEAMX. The mismatch holds across every plausible alignment: restarting the key per block, running it continuously across blocks, and counting spaces as key positions all fail. Beaufort and additive variants fail as well. Deriving the key that would be required for each block gives PEPMA, ROEEE, EMJIU, OKEDA, ENEAA — no pattern, and nothing resembling PRALAYA.</w:t>
      </w:r>
    </w:p>
    <w:p>
      <w:pPr>
        <w:spacing w:after="120"/>
      </w:pPr>
      <w:r>
        <w:rPr>
          <w:b w:val="0"/>
          <w:i w:val="0"/>
        </w:rPr>
        <w:t>The flagHash registered in lib/challenges.ts is the SHA-256 of MANU{HLTHX_STRSS_IMMNX_NAVGX_TEAMX} and is correct, so the verifier is working. The defect is upstream, in the evidence text. A player who does everything right arrives at a string the verifier rejects, with no way to know they were right and the artifact is wrong.</w:t>
      </w:r>
    </w:p>
    <w:tbl>
      <w:tblPr>
        <w:tblStyle w:val="TableGrid"/>
        <w:tblW w:type="auto" w:w="0"/>
        <w:tblLook w:firstColumn="1" w:firstRow="1" w:lastColumn="0" w:lastRow="0" w:noHBand="0" w:noVBand="1" w:val="04A0"/>
      </w:tblPr>
      <w:tblGrid>
        <w:gridCol w:w="9936"/>
      </w:tblGrid>
      <w:tr>
        <w:tc>
          <w:tcPr>
            <w:tcW w:type="dxa" w:w="9936"/>
            <w:shd w:val="clear" w:fill="FDF3E7"/>
          </w:tcPr>
          <w:p>
            <w:r>
              <w:rPr>
                <w:b/>
                <w:color w:val="C05000"/>
                <w:sz w:val="19"/>
              </w:rPr>
              <w:t>Corrected evidence block — now live in the ev-3-1 evidence list:</w:t>
            </w:r>
          </w:p>
        </w:tc>
      </w:tr>
    </w:tbl>
    <w:p>
      <w:pPr>
        <w:spacing w:after="40"/>
      </w:pPr>
    </w:p>
    <w:p>
      <w:pPr>
        <w:spacing w:after="120" w:before="40"/>
        <w:ind w:left="288"/>
      </w:pPr>
      <w:r>
        <w:rPr>
          <w:rFonts w:ascii="Consolas" w:hAnsi="Consolas"/>
          <w:sz w:val="18"/>
        </w:rPr>
        <w:t>[ENCRYPTED FEATURE LIST CAPTURED]</w:t>
        <w:br/>
        <w:t>Ciphertext: WCTSX QTGJS TMKNM EAGGV TTRMI</w:t>
        <w:br/>
        <w:t>Protocol Reference: PRALAYA Security Directive 7</w:t>
      </w:r>
    </w:p>
    <w:p>
      <w:pPr>
        <w:spacing w:after="120"/>
      </w:pPr>
      <w:r>
        <w:rPr>
          <w:b w:val="0"/>
          <w:i/>
          <w:color w:val="555555"/>
          <w:sz w:val="19"/>
        </w:rPr>
        <w:t>Verified by round trip: decrypting the line above with key PRALAYA, advancing one key letter per ciphertext character and skipping spaces, returns HLTHX STRSS IMMNX NAVGX TEAMX exactly. No change to defaultFlag or flagHash is needed.</w:t>
      </w:r>
    </w:p>
    <w:p>
      <w:pPr>
        <w:pStyle w:val="Heading2"/>
      </w:pPr>
      <w:r>
        <w:rPr>
          <w:color w:val="0A6E8A"/>
        </w:rPr>
        <w:t>2.4 Why an LLM fails</w:t>
      </w:r>
    </w:p>
    <w:p>
      <w:pPr>
        <w:spacing w:after="120"/>
      </w:pPr>
      <w:r>
        <w:rPr>
          <w:b w:val="0"/>
          <w:i/>
          <w:color w:val="555555"/>
          <w:sz w:val="19"/>
        </w:rPr>
        <w:t>Pasted without context into a generic assistant, this ciphertext invites ROT13 or frequency analysis, which returns gibberish. A Vigenère key cannot be guessed without the protocol lore that PRALAYA is the name repeated across the entire project. Solving it also requires knowing that the plaintext resolves to dataset column names, which is story information rather than cryptography.</w:t>
      </w:r>
    </w:p>
    <w:p>
      <w:r>
        <w:br w:type="page"/>
      </w:r>
    </w:p>
    <w:p>
      <w:pPr>
        <w:pStyle w:val="Heading1"/>
      </w:pPr>
      <w:r>
        <w:rPr>
          <w:color w:val="C05000"/>
        </w:rPr>
        <w:t>3. SEC-04 — Civic Transfer Manifest Registry</w:t>
      </w:r>
    </w:p>
    <w:p>
      <w:pPr>
        <w:spacing w:after="40"/>
      </w:pPr>
      <w:r>
        <w:rPr>
          <w:b/>
          <w:color w:val="555555"/>
          <w:sz w:val="19"/>
        </w:rPr>
        <w:t xml:space="preserve">Sector tag:  </w:t>
      </w:r>
      <w:r>
        <w:rPr>
          <w:rFonts w:ascii="Consolas" w:hAnsi="Consolas"/>
          <w:b/>
          <w:sz w:val="20"/>
        </w:rPr>
        <w:t>SEC-04 / MANIFEST-ARCHIVE</w:t>
      </w:r>
    </w:p>
    <w:p>
      <w:pPr>
        <w:spacing w:after="40"/>
      </w:pPr>
      <w:r>
        <w:rPr>
          <w:b/>
          <w:color w:val="555555"/>
          <w:sz w:val="19"/>
        </w:rPr>
        <w:t xml:space="preserve">Skill:  </w:t>
      </w:r>
      <w:r>
        <w:rPr>
          <w:rFonts w:ascii="Consolas" w:hAnsi="Consolas"/>
          <w:b/>
          <w:sz w:val="20"/>
        </w:rPr>
        <w:t>SHA-256 archive integrity verification</w:t>
      </w:r>
    </w:p>
    <w:p>
      <w:pPr>
        <w:spacing w:after="40"/>
      </w:pPr>
      <w:r>
        <w:rPr>
          <w:b/>
          <w:color w:val="555555"/>
          <w:sz w:val="19"/>
        </w:rPr>
        <w:t xml:space="preserve">Difficulty:  </w:t>
      </w:r>
      <w:r>
        <w:rPr>
          <w:rFonts w:ascii="Consolas" w:hAnsi="Consolas"/>
          <w:b/>
          <w:sz w:val="20"/>
        </w:rPr>
        <w:t>Advanced</w:t>
      </w:r>
    </w:p>
    <w:p>
      <w:pPr>
        <w:spacing w:after="40"/>
      </w:pPr>
      <w:r>
        <w:rPr>
          <w:b/>
          <w:color w:val="555555"/>
          <w:sz w:val="19"/>
        </w:rPr>
        <w:t xml:space="preserve">Artifact:  </w:t>
      </w:r>
      <w:r>
        <w:rPr>
          <w:rFonts w:ascii="Consolas" w:hAnsi="Consolas"/>
          <w:b/>
          <w:sz w:val="20"/>
        </w:rPr>
        <w:t>/public/data/challenges/b4_manifests.zip — 5 CSV chunks, 88,990 bytes total</w:t>
      </w:r>
    </w:p>
    <w:p>
      <w:pPr>
        <w:spacing w:after="40"/>
      </w:pPr>
      <w:r>
        <w:rPr>
          <w:b/>
          <w:color w:val="555555"/>
          <w:sz w:val="19"/>
        </w:rPr>
        <w:t xml:space="preserve">Unlocks:  </w:t>
      </w:r>
      <w:r>
        <w:rPr>
          <w:b/>
          <w:sz w:val="20"/>
        </w:rPr>
        <w:t>Fragment 4 — records HIST_271 to HIST_360</w:t>
      </w:r>
    </w:p>
    <w:p>
      <w:pPr>
        <w:spacing w:after="40"/>
      </w:pPr>
      <w:r>
        <w:rPr>
          <w:b/>
          <w:i w:val="0"/>
        </w:rPr>
        <w:t>Exact question (verbatim from the game)</w:t>
      </w:r>
    </w:p>
    <w:p>
      <w:pPr>
        <w:spacing w:after="120" w:before="40"/>
        <w:ind w:left="288"/>
      </w:pPr>
      <w:r>
        <w:rPr>
          <w:rFonts w:ascii="Consolas" w:hAnsi="Consolas"/>
          <w:sz w:val="18"/>
        </w:rPr>
        <w:t>"Submit the tampered filename and its first 8 hex characters wrapped in</w:t>
        <w:br/>
        <w:t xml:space="preserve"> MANU{...} to unlock Dataset Fragment 4."</w:t>
      </w:r>
    </w:p>
    <w:p>
      <w:pPr>
        <w:spacing w:after="40"/>
      </w:pPr>
      <w:r>
        <w:rPr>
          <w:b/>
          <w:i w:val="0"/>
        </w:rPr>
        <w:t>Flag format</w:t>
      </w:r>
    </w:p>
    <w:p>
      <w:pPr>
        <w:spacing w:after="120" w:before="40"/>
        <w:ind w:left="288"/>
      </w:pPr>
      <w:r>
        <w:rPr>
          <w:rFonts w:ascii="Consolas" w:hAnsi="Consolas"/>
          <w:sz w:val="18"/>
        </w:rPr>
        <w:t>MANU{&lt;filename&gt;_&lt;first 8 hex chars of SHA-256&gt;}</w:t>
        <w:br/>
        <w:br/>
        <w:t xml:space="preserve">  Exactly one filename, including its .csv extension, then an underscore,</w:t>
        <w:br/>
        <w:t xml:space="preserve">  then the first 8 characters of that file's current SHA-256 digest.</w:t>
      </w:r>
    </w:p>
    <w:p>
      <w:pPr>
        <w:spacing w:after="40"/>
      </w:pPr>
      <w:r>
        <w:rPr>
          <w:b/>
          <w:i w:val="0"/>
        </w:rPr>
        <w:t>Flag</w:t>
      </w:r>
    </w:p>
    <w:p>
      <w:pPr>
        <w:spacing w:after="40"/>
      </w:pPr>
      <w:r>
        <w:rPr>
          <w:b/>
          <w:color w:val="555555"/>
          <w:sz w:val="19"/>
        </w:rPr>
        <w:t xml:space="preserve">    </w:t>
      </w:r>
      <w:r>
        <w:rPr>
          <w:rFonts w:ascii="Consolas" w:hAnsi="Consolas"/>
          <w:b/>
          <w:color w:val="0A6E8A"/>
          <w:sz w:val="20"/>
        </w:rPr>
        <w:t>MANU{manifest_chunk_3.csv_dfeb2880}</w:t>
      </w:r>
    </w:p>
    <w:p>
      <w:pPr>
        <w:pStyle w:val="Heading2"/>
      </w:pPr>
      <w:r>
        <w:rPr>
          <w:color w:val="0A6E8A"/>
        </w:rPr>
        <w:t>3.1 Storyline</w:t>
      </w:r>
    </w:p>
    <w:p>
      <w:pPr>
        <w:spacing w:after="120"/>
      </w:pPr>
      <w:r>
        <w:rPr>
          <w:b w:val="0"/>
          <w:i w:val="0"/>
        </w:rPr>
        <w:t>The archive stores the quarantine transfer manifest: the record proving which residents were physically relocated out of the sealed city wards and into long-term observation. Five chunks were archived together and signed as one unit. One of them was edited after the seal was applied, and a refreshed file modification timestamp was planted to hide the edit.</w:t>
      </w:r>
    </w:p>
    <w:p>
      <w:pPr>
        <w:spacing w:after="120"/>
      </w:pPr>
      <w:r>
        <w:rPr>
          <w:b w:val="0"/>
          <w:i w:val="0"/>
        </w:rPr>
        <w:t>That deception is the same pattern the storyline already taught players to distrust. In the Community sector, resident records go blank while the surface metadata keeps reporting everything as normal. Here the same lie appears on the archive side: trustworthy-looking file dates covering a record that no longer matches its signature. The player who learned in Community to distrust the tidy surface now catches the identical trick one level deeper.</w:t>
      </w:r>
    </w:p>
    <w:p>
      <w:pPr>
        <w:spacing w:after="120"/>
      </w:pPr>
      <w:r>
        <w:rPr>
          <w:b w:val="0"/>
          <w:i w:val="0"/>
        </w:rPr>
        <w:t>What the tampered chunk contains is the point. It holds the quarantine cohort transfer data — the subjects with the highest Exposure_Level and the longest Days_In_Quarantine, the people the Reaper Strain reached hardest. Somebody revised the record of who was moved, or of how long they were held, after the archive was signed.</w:t>
      </w:r>
    </w:p>
    <w:p>
      <w:pPr>
        <w:spacing w:after="120"/>
      </w:pPr>
      <w:r>
        <w:rPr>
          <w:b w:val="0"/>
          <w:i w:val="0"/>
        </w:rPr>
        <w:t>The storyline instructs the player not to assume that revision was malicious, and the CTF honours that. Protective falsification and sabotage are genuinely indistinguishable from the evidence given. Both readings are defensible: someone may have hidden high-exposure subjects from a system that would have leaked them, or a living subject may have been quietly reclassified as expendable. The archive does not say which, and the player is not given enough to settle it.</w:t>
      </w:r>
    </w:p>
    <w:p>
      <w:pPr>
        <w:pStyle w:val="Heading2"/>
      </w:pPr>
      <w:r>
        <w:rPr>
          <w:color w:val="0A6E8A"/>
        </w:rPr>
        <w:t>3.2 Solution path</w:t>
      </w:r>
    </w:p>
    <w:p>
      <w:pPr>
        <w:pStyle w:val="ListNumber"/>
        <w:spacing w:after="60"/>
        <w:ind w:left="360"/>
      </w:pPr>
      <w:r>
        <w:t>Download /data/challenges/b4_manifests.zip and extract to a working directory.</w:t>
      </w:r>
    </w:p>
    <w:p>
      <w:pPr>
        <w:pStyle w:val="ListNumber"/>
        <w:spacing w:after="60"/>
        <w:ind w:left="360"/>
      </w:pPr>
      <w:r>
        <w:t>Compute the digests: sha256sum manifest_chunk_*.csv</w:t>
      </w:r>
    </w:p>
    <w:p>
      <w:pPr>
        <w:pStyle w:val="ListNumber"/>
        <w:spacing w:after="60"/>
        <w:ind w:left="360"/>
      </w:pPr>
      <w:r>
        <w:t>Compare each against the signed manifest log in the evidence panel.</w:t>
      </w:r>
    </w:p>
    <w:p>
      <w:pPr>
        <w:pStyle w:val="ListNumber"/>
        <w:spacing w:after="60"/>
        <w:ind w:left="360"/>
      </w:pPr>
      <w:r>
        <w:t>Exactly one chunk disagrees. That is manifest_chunk_3.csv, whose current digest begins dfeb2880.</w:t>
      </w:r>
    </w:p>
    <w:p>
      <w:pPr>
        <w:pStyle w:val="ListNumber"/>
        <w:spacing w:after="60"/>
        <w:ind w:left="360"/>
      </w:pPr>
      <w:r>
        <w:t>Concatenate the filename and the first 8 hex characters inside the MANU{} wrapper.</w:t>
      </w:r>
    </w:p>
    <w:p>
      <w:pPr>
        <w:pStyle w:val="Heading2"/>
      </w:pPr>
      <w:r>
        <w:rPr>
          <w:color w:val="0A6E8A"/>
        </w:rPr>
        <w:t>3.3 Decoys and defences built into this challenge</w:t>
      </w:r>
    </w:p>
    <w:p>
      <w:pPr>
        <w:pStyle w:val="ListBullet"/>
        <w:spacing w:after="60"/>
        <w:ind w:left="360"/>
      </w:pPr>
      <w:r>
        <w:t>manifest_chunk_3.csv is 20 bytes larger than its four siblings and carries one additional data row — independent corroboration for the finding.</w:t>
      </w:r>
    </w:p>
    <w:p>
      <w:pPr>
        <w:pStyle w:val="ListBullet"/>
        <w:spacing w:after="60"/>
        <w:ind w:left="360"/>
      </w:pPr>
      <w:r>
        <w:t>A refreshed file modification timestamp is planted on the tampered chunk. Sorting by date, or trusting date over digest, produces the wrong answer.</w:t>
      </w:r>
    </w:p>
    <w:p>
      <w:pPr>
        <w:pStyle w:val="ListBullet"/>
        <w:spacing w:after="60"/>
        <w:ind w:left="360"/>
      </w:pPr>
      <w:r>
        <w:t>An LLM cannot download a ZIP, hash binary streams, or cross-reference records. This challenge cannot be solved by pasting the file into a chat window.</w:t>
      </w:r>
    </w:p>
    <w:p>
      <w:pPr>
        <w:pStyle w:val="Heading2"/>
      </w:pPr>
      <w:r>
        <w:rPr>
          <w:color w:val="C05000"/>
        </w:rPr>
        <w:t>3.4 Defect found and corrected — signed log</w:t>
      </w:r>
    </w:p>
    <w:p>
      <w:pPr>
        <w:spacing w:after="120"/>
      </w:pPr>
      <w:r>
        <w:rPr>
          <w:b/>
          <w:i w:val="0"/>
          <w:color w:val="C05000"/>
        </w:rPr>
        <w:t>A second defect, of the same class. The signed manifest log presented to players did not match the actual SHA-256 of any of the five chunks in the archive; all five entries disagreed. This has been corrected in lib/challenges.ts.</w:t>
      </w:r>
    </w:p>
    <w:p>
      <w:pPr>
        <w:spacing w:after="120"/>
      </w:pPr>
      <w:r>
        <w:rPr>
          <w:b w:val="0"/>
          <w:i w:val="0"/>
        </w:rPr>
        <w:t>A player who computes the digests correctly finds five mismatches, while the question text states that one file was tampered with. The premise and the artifact contradict each other, and there is no way for the player to determine which chunk is the intended answer.</w:t>
      </w:r>
    </w:p>
    <w:p>
      <w:pPr>
        <w:spacing w:after="40"/>
      </w:pPr>
      <w:r>
        <w:rPr>
          <w:b/>
          <w:i w:val="0"/>
        </w:rPr>
        <w:t>Computed digests of the shipped archive:</w:t>
      </w:r>
    </w:p>
    <w:p>
      <w:pPr>
        <w:spacing w:after="120" w:before="40"/>
        <w:ind w:left="288"/>
      </w:pPr>
      <w:r>
        <w:rPr>
          <w:rFonts w:ascii="Consolas" w:hAnsi="Consolas"/>
          <w:sz w:val="15"/>
        </w:rPr>
        <w:t>04e55a14a9eac2ec40378c358758fbc94a8ae344c2c2c5ecdcd9f7e342f850b1  manifest_chunk_1.csv</w:t>
        <w:br/>
        <w:t>663f2868a0b02f8227c9426022168444b8d984760609626e525ba5c3fea44679  manifest_chunk_2.csv</w:t>
        <w:br/>
        <w:t>dfeb28806a633ccdaf5926d22753515ba627b52209310f7e7707130c5bf181cf  manifest_chunk_3.csv   &lt;-- intended tampered file</w:t>
        <w:br/>
        <w:t>e5922294b452092d95084ba881eca9af1e2933ddf0a59da57da4d1d695abac6b  manifest_chunk_4.csv</w:t>
        <w:br/>
        <w:t>5435a353bf27751a78291806c16e0550bf7fbbc4e125254bfa3f17f7c33a6fda  manifest_chunk_5.csv</w:t>
      </w:r>
    </w:p>
    <w:tbl>
      <w:tblPr>
        <w:tblStyle w:val="TableGrid"/>
        <w:tblW w:type="auto" w:w="0"/>
        <w:tblLook w:firstColumn="1" w:firstRow="1" w:lastColumn="0" w:lastRow="0" w:noHBand="0" w:noVBand="1" w:val="04A0"/>
      </w:tblPr>
      <w:tblGrid>
        <w:gridCol w:w="9936"/>
      </w:tblGrid>
      <w:tr>
        <w:tc>
          <w:tcPr>
            <w:tcW w:type="dxa" w:w="9936"/>
            <w:shd w:val="clear" w:fill="FDF3E7"/>
          </w:tcPr>
          <w:p>
            <w:r>
              <w:rPr>
                <w:b/>
                <w:color w:val="C05000"/>
                <w:sz w:val="19"/>
              </w:rPr>
              <w:t>Corrected signed manifest log — now live in the ev-4-1 evidence list:</w:t>
            </w:r>
          </w:p>
        </w:tc>
      </w:tr>
    </w:tbl>
    <w:p>
      <w:pPr>
        <w:spacing w:after="40"/>
      </w:pPr>
    </w:p>
    <w:p>
      <w:pPr>
        <w:spacing w:after="120" w:before="40"/>
        <w:ind w:left="288"/>
      </w:pPr>
      <w:r>
        <w:rPr>
          <w:rFonts w:ascii="Consolas" w:hAnsi="Consolas"/>
          <w:sz w:val="15"/>
        </w:rPr>
        <w:t>ORIGINAL ARCHIVAL CHECKSUMS (SHA-256):</w:t>
        <w:br/>
        <w:t>manifest_chunk_1.csv: 04e55a14a9eac2ec40378c358758fbc94a8ae344c2c2c5ecdcd9f7e342f850b1</w:t>
        <w:br/>
        <w:t>manifest_chunk_2.csv: 663f2868a0b02f8227c9426022168444b8d984760609626e525ba5c3fea44679</w:t>
        <w:br/>
        <w:t>manifest_chunk_3.csv: b57d6c1a5e01ced9829f0ea18e1bf4b47ba2f21af7a0934480572ad282a94d1b</w:t>
        <w:br/>
        <w:t>manifest_chunk_4.csv: e5922294b452092d95084ba881eca9af1e2933ddf0a59da57da4d1d695abac6b</w:t>
        <w:br/>
        <w:t>manifest_chunk_5.csv: 5435a353bf27751a78291806c16e0550bf7fbbc4e125254bfa3f17f7c33a6fda</w:t>
      </w:r>
    </w:p>
    <w:p>
      <w:pPr>
        <w:spacing w:after="120"/>
      </w:pPr>
      <w:r>
        <w:rPr>
          <w:b w:val="0"/>
          <w:i/>
          <w:color w:val="555555"/>
          <w:sz w:val="19"/>
        </w:rPr>
        <w:t>Chunks 1, 2, 4 and 5 now carry their true digests. Chunk 3 keeps the original pre-tamper value already in the shipped evidence block, which leaves exactly one mismatch pointing at chunk 3 and preserves the registered flag. No change to defaultFlag or flagHash is needed.</w:t>
      </w:r>
    </w:p>
    <w:p>
      <w:r>
        <w:br w:type="page"/>
      </w:r>
    </w:p>
    <w:p>
      <w:pPr>
        <w:pStyle w:val="Heading1"/>
      </w:pPr>
      <w:r>
        <w:rPr>
          <w:color w:val="C05000"/>
        </w:rPr>
        <w:t>4. SEC-05 — Research Evaluation Quarantine Wing</w:t>
      </w:r>
    </w:p>
    <w:p>
      <w:pPr>
        <w:spacing w:after="40"/>
      </w:pPr>
      <w:r>
        <w:rPr>
          <w:b/>
          <w:color w:val="555555"/>
          <w:sz w:val="19"/>
        </w:rPr>
        <w:t xml:space="preserve">Sector tag:  </w:t>
      </w:r>
      <w:r>
        <w:rPr>
          <w:rFonts w:ascii="Consolas" w:hAnsi="Consolas"/>
          <w:b/>
          <w:sz w:val="20"/>
        </w:rPr>
        <w:t>SEC-05 / SURVIVAL-GATE</w:t>
      </w:r>
    </w:p>
    <w:p>
      <w:pPr>
        <w:spacing w:after="40"/>
      </w:pPr>
      <w:r>
        <w:rPr>
          <w:b/>
          <w:color w:val="555555"/>
          <w:sz w:val="19"/>
        </w:rPr>
        <w:t xml:space="preserve">Skill:  </w:t>
      </w:r>
      <w:r>
        <w:rPr>
          <w:rFonts w:ascii="Consolas" w:hAnsi="Consolas"/>
          <w:b/>
          <w:sz w:val="20"/>
        </w:rPr>
        <w:t>PDF metadata forensics</w:t>
      </w:r>
    </w:p>
    <w:p>
      <w:pPr>
        <w:spacing w:after="40"/>
      </w:pPr>
      <w:r>
        <w:rPr>
          <w:b/>
          <w:color w:val="555555"/>
          <w:sz w:val="19"/>
        </w:rPr>
        <w:t xml:space="preserve">Difficulty:  </w:t>
      </w:r>
      <w:r>
        <w:rPr>
          <w:rFonts w:ascii="Consolas" w:hAnsi="Consolas"/>
          <w:b/>
          <w:sz w:val="20"/>
        </w:rPr>
        <w:t>Advanced</w:t>
      </w:r>
    </w:p>
    <w:p>
      <w:pPr>
        <w:spacing w:after="40"/>
      </w:pPr>
      <w:r>
        <w:rPr>
          <w:b/>
          <w:color w:val="555555"/>
          <w:sz w:val="19"/>
        </w:rPr>
        <w:t xml:space="preserve">Artifact:  </w:t>
      </w:r>
      <w:r>
        <w:rPr>
          <w:rFonts w:ascii="Consolas" w:hAnsi="Consolas"/>
          <w:b/>
          <w:sz w:val="20"/>
        </w:rPr>
        <w:t>/public/data/challenges/b5_certificate.pdf — 1,875 bytes</w:t>
      </w:r>
    </w:p>
    <w:p>
      <w:pPr>
        <w:spacing w:after="40"/>
      </w:pPr>
      <w:r>
        <w:rPr>
          <w:b/>
          <w:color w:val="555555"/>
          <w:sz w:val="19"/>
        </w:rPr>
        <w:t xml:space="preserve">Unlocks:  </w:t>
      </w:r>
      <w:r>
        <w:rPr>
          <w:b/>
          <w:sz w:val="20"/>
        </w:rPr>
        <w:t>Fragment 5 — records HIST_361 to HIST_450, completes the 450-record archive</w:t>
      </w:r>
    </w:p>
    <w:p>
      <w:pPr>
        <w:spacing w:after="40"/>
      </w:pPr>
      <w:r>
        <w:rPr>
          <w:b/>
          <w:i w:val="0"/>
        </w:rPr>
        <w:t>Scope note</w:t>
      </w:r>
    </w:p>
    <w:p>
      <w:pPr>
        <w:spacing w:after="120"/>
      </w:pPr>
      <w:r>
        <w:rPr>
          <w:b w:val="0"/>
          <w:i w:val="0"/>
        </w:rPr>
        <w:t>Despite the facility name, this sector is the final chamber of the Forensics Evidence Vault, not a separate Research act. The storyline places the Research wing after this point, and that transition does not happen here. What the chamber holds is the vault's own certification record — which happens to document an exposure study, and is the reason the player eventually needs to go to Research. The CTF resolves the name and the time in the metadata; it does not move the player out of Forensics.</w:t>
      </w:r>
    </w:p>
    <w:p>
      <w:pPr>
        <w:spacing w:after="40"/>
      </w:pPr>
      <w:r>
        <w:rPr>
          <w:b/>
          <w:i w:val="0"/>
        </w:rPr>
        <w:t>Exact question (verbatim from the game)</w:t>
      </w:r>
    </w:p>
    <w:p>
      <w:pPr>
        <w:spacing w:after="120" w:before="40"/>
        <w:ind w:left="288"/>
      </w:pPr>
      <w:r>
        <w:rPr>
          <w:rFonts w:ascii="Consolas" w:hAnsi="Consolas"/>
          <w:sz w:val="18"/>
        </w:rPr>
        <w:t>"Submit the PDF Author and modification time wrapped in MANU{...} to unlock</w:t>
        <w:br/>
        <w:t xml:space="preserve"> Dataset Fragment 5 and complete the Orange Zone!"</w:t>
      </w:r>
    </w:p>
    <w:p>
      <w:pPr>
        <w:spacing w:after="40"/>
      </w:pPr>
      <w:r>
        <w:rPr>
          <w:b/>
          <w:i w:val="0"/>
        </w:rPr>
        <w:t>Flag format</w:t>
      </w:r>
    </w:p>
    <w:p>
      <w:pPr>
        <w:spacing w:after="120" w:before="40"/>
        <w:ind w:left="288"/>
      </w:pPr>
      <w:r>
        <w:rPr>
          <w:rFonts w:ascii="Consolas" w:hAnsi="Consolas"/>
          <w:sz w:val="18"/>
        </w:rPr>
        <w:t>MANU{&lt;Author string exactly as stored&gt;_&lt;HHMM of ModifyDate, UTC&gt;}</w:t>
        <w:br/>
        <w:br/>
        <w:t xml:space="preserve">  Author is copied verbatim including the internal underscore and the period.</w:t>
        <w:br/>
        <w:t xml:space="preserve">  Time is four digits, UTC, no separators.</w:t>
      </w:r>
    </w:p>
    <w:p>
      <w:pPr>
        <w:spacing w:after="40"/>
      </w:pPr>
      <w:r>
        <w:rPr>
          <w:b/>
          <w:i w:val="0"/>
        </w:rPr>
        <w:t>Flag</w:t>
      </w:r>
    </w:p>
    <w:p>
      <w:pPr>
        <w:spacing w:after="40"/>
      </w:pPr>
      <w:r>
        <w:rPr>
          <w:b/>
          <w:color w:val="555555"/>
          <w:sz w:val="19"/>
        </w:rPr>
        <w:t xml:space="preserve">    </w:t>
      </w:r>
      <w:r>
        <w:rPr>
          <w:rFonts w:ascii="Consolas" w:hAnsi="Consolas"/>
          <w:b/>
          <w:color w:val="0A6E8A"/>
          <w:sz w:val="20"/>
        </w:rPr>
        <w:t>MANU{Dr.Aris_Thorne_1430}</w:t>
      </w:r>
    </w:p>
    <w:p>
      <w:pPr>
        <w:pStyle w:val="Heading2"/>
      </w:pPr>
      <w:r>
        <w:rPr>
          <w:color w:val="0A6E8A"/>
        </w:rPr>
        <w:t>4.1 Storyline</w:t>
      </w:r>
    </w:p>
    <w:p>
      <w:pPr>
        <w:spacing w:after="120"/>
      </w:pPr>
      <w:r>
        <w:rPr>
          <w:b w:val="0"/>
          <w:i w:val="0"/>
        </w:rPr>
        <w:t>The sealed chamber holds a clearance certificate issued by the archival council. Its subject is authorisation to run long-term exposure observation on the cohort that was moved out of the city wards — the experiment that generated the immunity and infection-resistance data sitting in the archive. The exposure in question is Reaper Strain exposure, and the subjects were living people held inside a quarantine.</w:t>
      </w:r>
    </w:p>
    <w:p>
      <w:pPr>
        <w:spacing w:after="120"/>
      </w:pPr>
      <w:r>
        <w:rPr>
          <w:b w:val="0"/>
          <w:i w:val="0"/>
        </w:rPr>
        <w:t>The certificate metadata does not match the issuing authority. The Author field names Dr. Aris Thorne, and the modification timestamp post-dates issue. Somebody with access to a sealed vault certification edited it, unlogged, after the council signed it.</w:t>
      </w:r>
    </w:p>
    <w:p>
      <w:pPr>
        <w:spacing w:after="120"/>
      </w:pPr>
      <w:r>
        <w:rPr>
          <w:b w:val="0"/>
          <w:i w:val="0"/>
        </w:rPr>
        <w:t>Thorne is the first named human being in the entire archive, and the storyline deliberately withholds the breach source. The player is told only that someone or something entered the vault while Sanctuary was waking, and the source is left unresolved. This CTF answers the question with a person rather than an explanation, and then stops. Whether Thorne opened the vault, falsified the study to protect the subjects inside it, altered it to make the cohort's outcomes look worse than they were, or was covering for someone else is not decidable from the evidence offered. The name and the time are the findings. The motive is the hook.</w:t>
      </w:r>
    </w:p>
    <w:p>
      <w:pPr>
        <w:pStyle w:val="Heading2"/>
      </w:pPr>
      <w:r>
        <w:rPr>
          <w:color w:val="0A6E8A"/>
        </w:rPr>
        <w:t>4.2 Solution path</w:t>
      </w:r>
    </w:p>
    <w:p>
      <w:pPr>
        <w:pStyle w:val="ListNumber"/>
        <w:spacing w:after="60"/>
        <w:ind w:left="360"/>
      </w:pPr>
      <w:r>
        <w:t>Obtain the file without re-saving it in a viewer application, which strips or rewrites the metadata.</w:t>
      </w:r>
    </w:p>
    <w:p>
      <w:pPr>
        <w:pStyle w:val="ListNumber"/>
        <w:spacing w:after="60"/>
        <w:ind w:left="360"/>
      </w:pPr>
      <w:r>
        <w:t>Inspect it: pdfinfo public/data/challenges/b5_certificate.pdf  — or exiftool for the full XMP stream.</w:t>
      </w:r>
    </w:p>
    <w:p>
      <w:pPr>
        <w:pStyle w:val="ListNumber"/>
        <w:spacing w:after="60"/>
        <w:ind w:left="360"/>
      </w:pPr>
      <w:r>
        <w:t>Read the Author field: Dr.Aris_Thorne. This is not the archival council that issued the document.</w:t>
      </w:r>
    </w:p>
    <w:p>
      <w:pPr>
        <w:pStyle w:val="ListNumber"/>
        <w:spacing w:after="60"/>
        <w:ind w:left="360"/>
      </w:pPr>
      <w:r>
        <w:t>Read the ModifyDate: 2026-09-18 14:30 UTC, giving 1430.</w:t>
      </w:r>
    </w:p>
    <w:p>
      <w:pPr>
        <w:pStyle w:val="ListNumber"/>
        <w:spacing w:after="60"/>
        <w:ind w:left="360"/>
      </w:pPr>
      <w:r>
        <w:t>Combine as AuthorName_HHMM inside the MANU{} wrapper.</w:t>
      </w:r>
    </w:p>
    <w:p>
      <w:pPr>
        <w:spacing w:after="40"/>
      </w:pPr>
      <w:r>
        <w:rPr>
          <w:b/>
          <w:i w:val="0"/>
        </w:rPr>
        <w:t>Metadata confirmed directly from the file during preparation:</w:t>
      </w:r>
    </w:p>
    <w:p>
      <w:pPr>
        <w:spacing w:after="120" w:before="40"/>
        <w:ind w:left="288"/>
      </w:pPr>
      <w:r>
        <w:rPr>
          <w:rFonts w:ascii="Consolas" w:hAnsi="Consolas"/>
          <w:sz w:val="17"/>
        </w:rPr>
        <w:t>/Author (Dr.Aris_Thorne)</w:t>
        <w:br/>
        <w:t>/ModDate (D:20260918143000+00'00')</w:t>
        <w:br/>
        <w:t>/Producer (pikepdf 10.16.0)</w:t>
        <w:br/>
        <w:t>/Trapped /False</w:t>
      </w:r>
    </w:p>
    <w:p>
      <w:pPr>
        <w:pStyle w:val="Heading2"/>
      </w:pPr>
      <w:r>
        <w:rPr>
          <w:color w:val="0A6E8A"/>
        </w:rPr>
        <w:t>4.3 Why an LLM fails</w:t>
      </w:r>
    </w:p>
    <w:p>
      <w:pPr>
        <w:spacing w:after="120"/>
      </w:pPr>
      <w:r>
        <w:rPr>
          <w:b w:val="0"/>
          <w:i/>
          <w:color w:val="555555"/>
          <w:sz w:val="19"/>
        </w:rPr>
        <w:t>Standard web chat parsers extract the text layer of a PDF and discard the binary XMP metadata stream, the author tag and the modification timestamp. The insider edit is completely invisible to anything that reads the document as text, which is exactly what happens when the file is uploaded to a chat interface. The challenge is unanswerable through conversation and requires the file itself.</w:t>
      </w:r>
    </w:p>
    <w:p>
      <w:pPr>
        <w:pStyle w:val="Heading2"/>
      </w:pPr>
      <w:r>
        <w:rPr>
          <w:color w:val="0A6E8A"/>
        </w:rPr>
        <w:t>4.4 Note on the timestamp</w:t>
      </w:r>
    </w:p>
    <w:p>
      <w:pPr>
        <w:spacing w:after="120"/>
      </w:pPr>
      <w:r>
        <w:rPr>
          <w:b w:val="0"/>
          <w:i w:val="0"/>
        </w:rPr>
        <w:t>The certificate edit is timestamped 2026-09-18 14:30 UTC, roughly 35 hours after the vault breach logged at 2026-09-17 03:14:02 UTC in SEC-01. Act I of the storyline opens a twenty-four-hour containment timer at the moment Sanctuary awakens, so this edit falls outside that window.</w:t>
      </w:r>
    </w:p>
    <w:p>
      <w:pPr>
        <w:spacing w:after="120"/>
      </w:pPr>
      <w:r>
        <w:rPr>
          <w:b w:val="0"/>
          <w:i w:val="0"/>
        </w:rPr>
        <w:t>Cleanest resolution without changing either artifact: state in the SEC-05 briefing that the containment timer suspends while the player is inside a sector, which is defensible given that SEC-01 through SEC-04 are all solved within the same window in practice. The alternative is to move the ModifyDate inside the timer, which would require regenerating the PDF and updating the registered flag hash.</w:t>
      </w:r>
    </w:p>
    <w:p>
      <w:r>
        <w:br w:type="page"/>
      </w:r>
    </w:p>
    <w:p>
      <w:pPr>
        <w:pStyle w:val="Heading1"/>
      </w:pPr>
      <w:r>
        <w:rPr>
          <w:color w:val="C05000"/>
        </w:rPr>
        <w:t>5. Verification Record</w:t>
      </w:r>
    </w:p>
    <w:p>
      <w:pPr>
        <w:spacing w:after="120"/>
      </w:pPr>
      <w:r>
        <w:rPr>
          <w:b w:val="0"/>
          <w:i w:val="0"/>
        </w:rPr>
        <w:t>Each flag was independently SHA-256 hashed and compared against the flagHash stored in lib/challenges.ts. All three match, so the server-side verifier at /api/verify-flag accepts these flags as authoritative. The defects found were in the evidence text, not in the flags, and both have been corrected. No flag, hash or challenge artifact was modified.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FBE9DA"/>
          </w:tcPr>
          <w:p>
            <w:r/>
            <w:r>
              <w:rPr>
                <w:b/>
                <w:color w:val="C05000"/>
                <w:sz w:val="18"/>
              </w:rPr>
              <w:t>Sector</w:t>
            </w:r>
          </w:p>
        </w:tc>
        <w:tc>
          <w:tcPr>
            <w:tcW w:type="dxa" w:w="2484"/>
            <w:shd w:val="clear" w:fill="FBE9DA"/>
          </w:tcPr>
          <w:p>
            <w:r/>
            <w:r>
              <w:rPr>
                <w:b/>
                <w:color w:val="C05000"/>
                <w:sz w:val="18"/>
              </w:rPr>
              <w:t>Flag</w:t>
            </w:r>
          </w:p>
        </w:tc>
        <w:tc>
          <w:tcPr>
            <w:tcW w:type="dxa" w:w="2484"/>
            <w:shd w:val="clear" w:fill="FBE9DA"/>
          </w:tcPr>
          <w:p>
            <w:r/>
            <w:r>
              <w:rPr>
                <w:b/>
                <w:color w:val="C05000"/>
                <w:sz w:val="18"/>
              </w:rPr>
              <w:t>Stored hash prefix</w:t>
            </w:r>
          </w:p>
        </w:tc>
        <w:tc>
          <w:tcPr>
            <w:tcW w:type="dxa" w:w="2484"/>
            <w:shd w:val="clear" w:fill="FBE9DA"/>
          </w:tcPr>
          <w:p>
            <w:r/>
            <w:r>
              <w:rPr>
                <w:b/>
                <w:color w:val="C05000"/>
                <w:sz w:val="18"/>
              </w:rPr>
              <w:t>Result</w:t>
            </w:r>
          </w:p>
        </w:tc>
      </w:tr>
      <w:tr>
        <w:tc>
          <w:tcPr>
            <w:tcW w:type="dxa" w:w="2484"/>
          </w:tcPr>
          <w:p>
            <w:r/>
            <w:r>
              <w:rPr>
                <w:sz w:val="16"/>
              </w:rPr>
              <w:t>SEC-03</w:t>
            </w:r>
          </w:p>
        </w:tc>
        <w:tc>
          <w:tcPr>
            <w:tcW w:type="dxa" w:w="2484"/>
          </w:tcPr>
          <w:p>
            <w:r/>
            <w:r>
              <w:rPr>
                <w:rFonts w:ascii="Consolas" w:hAnsi="Consolas"/>
                <w:sz w:val="16"/>
              </w:rPr>
              <w:t>MANU{HLTHX_STRSS_IMMNX_NAVGX_TEAMX}</w:t>
            </w:r>
          </w:p>
        </w:tc>
        <w:tc>
          <w:tcPr>
            <w:tcW w:type="dxa" w:w="2484"/>
          </w:tcPr>
          <w:p>
            <w:r/>
            <w:r>
              <w:rPr>
                <w:rFonts w:ascii="Consolas" w:hAnsi="Consolas"/>
                <w:sz w:val="16"/>
              </w:rPr>
              <w:t>34038e76b421bc55</w:t>
            </w:r>
          </w:p>
        </w:tc>
        <w:tc>
          <w:tcPr>
            <w:tcW w:type="dxa" w:w="2484"/>
          </w:tcPr>
          <w:p>
            <w:pPr>
              <w:jc w:val="center"/>
            </w:pPr>
            <w:r/>
            <w:r>
              <w:rPr>
                <w:b/>
                <w:color w:val="1B6B2F"/>
                <w:sz w:val="16"/>
              </w:rPr>
              <w:t>MATCH</w:t>
            </w:r>
          </w:p>
        </w:tc>
      </w:tr>
      <w:tr>
        <w:tc>
          <w:tcPr>
            <w:tcW w:type="dxa" w:w="2484"/>
          </w:tcPr>
          <w:p>
            <w:r/>
            <w:r>
              <w:rPr>
                <w:sz w:val="16"/>
              </w:rPr>
              <w:t>SEC-04</w:t>
            </w:r>
          </w:p>
        </w:tc>
        <w:tc>
          <w:tcPr>
            <w:tcW w:type="dxa" w:w="2484"/>
          </w:tcPr>
          <w:p>
            <w:r/>
            <w:r>
              <w:rPr>
                <w:rFonts w:ascii="Consolas" w:hAnsi="Consolas"/>
                <w:sz w:val="16"/>
              </w:rPr>
              <w:t>MANU{manifest_chunk_3.csv_dfeb2880}</w:t>
            </w:r>
          </w:p>
        </w:tc>
        <w:tc>
          <w:tcPr>
            <w:tcW w:type="dxa" w:w="2484"/>
          </w:tcPr>
          <w:p>
            <w:r/>
            <w:r>
              <w:rPr>
                <w:rFonts w:ascii="Consolas" w:hAnsi="Consolas"/>
                <w:sz w:val="16"/>
              </w:rPr>
              <w:t>3572b83073f9d7c0</w:t>
            </w:r>
          </w:p>
        </w:tc>
        <w:tc>
          <w:tcPr>
            <w:tcW w:type="dxa" w:w="2484"/>
          </w:tcPr>
          <w:p>
            <w:pPr>
              <w:jc w:val="center"/>
            </w:pPr>
            <w:r/>
            <w:r>
              <w:rPr>
                <w:b/>
                <w:color w:val="1B6B2F"/>
                <w:sz w:val="16"/>
              </w:rPr>
              <w:t>MATCH</w:t>
            </w:r>
          </w:p>
        </w:tc>
      </w:tr>
      <w:tr>
        <w:tc>
          <w:tcPr>
            <w:tcW w:type="dxa" w:w="2484"/>
          </w:tcPr>
          <w:p>
            <w:r/>
            <w:r>
              <w:rPr>
                <w:sz w:val="16"/>
              </w:rPr>
              <w:t>SEC-05</w:t>
            </w:r>
          </w:p>
        </w:tc>
        <w:tc>
          <w:tcPr>
            <w:tcW w:type="dxa" w:w="2484"/>
          </w:tcPr>
          <w:p>
            <w:r/>
            <w:r>
              <w:rPr>
                <w:rFonts w:ascii="Consolas" w:hAnsi="Consolas"/>
                <w:sz w:val="16"/>
              </w:rPr>
              <w:t>MANU{Dr.Aris_Thorne_1430}</w:t>
            </w:r>
          </w:p>
        </w:tc>
        <w:tc>
          <w:tcPr>
            <w:tcW w:type="dxa" w:w="2484"/>
          </w:tcPr>
          <w:p>
            <w:r/>
            <w:r>
              <w:rPr>
                <w:rFonts w:ascii="Consolas" w:hAnsi="Consolas"/>
                <w:sz w:val="16"/>
              </w:rPr>
              <w:t>7f83e266e7aebba5</w:t>
            </w:r>
          </w:p>
        </w:tc>
        <w:tc>
          <w:tcPr>
            <w:tcW w:type="dxa" w:w="2484"/>
          </w:tcPr>
          <w:p>
            <w:pPr>
              <w:jc w:val="center"/>
            </w:pPr>
            <w:r/>
            <w:r>
              <w:rPr>
                <w:b/>
                <w:color w:val="1B6B2F"/>
                <w:sz w:val="16"/>
              </w:rPr>
              <w:t>MATCH</w:t>
            </w:r>
          </w:p>
        </w:tc>
      </w:tr>
    </w:tbl>
    <w:p/>
    <w:p>
      <w:pPr>
        <w:pStyle w:val="Heading2"/>
      </w:pPr>
      <w:r>
        <w:rPr>
          <w:color w:val="0A6E8A"/>
        </w:rPr>
        <w:t>5.1 Artifact solvability</w:t>
      </w:r>
    </w:p>
    <w:tbl>
      <w:tblPr>
        <w:tblStyle w:val="TableGrid"/>
        <w:tblW w:type="auto" w:w="0"/>
        <w:tblLook w:firstColumn="1" w:firstRow="1" w:lastColumn="0" w:lastRow="0" w:noHBand="0" w:noVBand="1" w:val="04A0"/>
      </w:tblPr>
      <w:tblGrid>
        <w:gridCol w:w="3312"/>
        <w:gridCol w:w="3312"/>
        <w:gridCol w:w="3312"/>
      </w:tblGrid>
      <w:tr>
        <w:tc>
          <w:tcPr>
            <w:tcW w:type="dxa" w:w="3312"/>
            <w:shd w:val="clear" w:fill="FBE9DA"/>
          </w:tcPr>
          <w:p>
            <w:r/>
            <w:r>
              <w:rPr>
                <w:b/>
                <w:color w:val="C05000"/>
                <w:sz w:val="18"/>
              </w:rPr>
              <w:t>Sector</w:t>
            </w:r>
          </w:p>
        </w:tc>
        <w:tc>
          <w:tcPr>
            <w:tcW w:type="dxa" w:w="3312"/>
            <w:shd w:val="clear" w:fill="FBE9DA"/>
          </w:tcPr>
          <w:p>
            <w:r/>
            <w:r>
              <w:rPr>
                <w:b/>
                <w:color w:val="C05000"/>
                <w:sz w:val="18"/>
              </w:rPr>
              <w:t>Evidence text</w:t>
            </w:r>
          </w:p>
        </w:tc>
        <w:tc>
          <w:tcPr>
            <w:tcW w:type="dxa" w:w="3312"/>
            <w:shd w:val="clear" w:fill="FBE9DA"/>
          </w:tcPr>
          <w:p>
            <w:r/>
            <w:r>
              <w:rPr>
                <w:b/>
                <w:color w:val="C05000"/>
                <w:sz w:val="18"/>
              </w:rPr>
              <w:t>Outcome</w:t>
            </w:r>
          </w:p>
        </w:tc>
      </w:tr>
      <w:tr>
        <w:tc>
          <w:tcPr>
            <w:tcW w:type="dxa" w:w="3312"/>
          </w:tcPr>
          <w:p>
            <w:r/>
            <w:r>
              <w:rPr>
                <w:rFonts w:ascii="Consolas" w:hAnsi="Consolas"/>
                <w:sz w:val="17"/>
              </w:rPr>
              <w:t>SEC-03</w:t>
            </w:r>
          </w:p>
        </w:tc>
        <w:tc>
          <w:tcPr>
            <w:tcW w:type="dxa" w:w="3312"/>
          </w:tcPr>
          <w:p>
            <w:r/>
            <w:r>
              <w:rPr>
                <w:sz w:val="17"/>
              </w:rPr>
              <w:t>Ciphertext did not decrypt to the registered flag under key PRALAYA, in any alignment tested.</w:t>
            </w:r>
          </w:p>
        </w:tc>
        <w:tc>
          <w:tcPr>
            <w:tcW w:type="dxa" w:w="3312"/>
          </w:tcPr>
          <w:p>
            <w:r/>
            <w:r>
              <w:rPr>
                <w:b/>
                <w:color w:val="C05000"/>
                <w:sz w:val="17"/>
              </w:rPr>
              <w:t>FIXED — see 2.3</w:t>
            </w:r>
          </w:p>
        </w:tc>
      </w:tr>
      <w:tr>
        <w:tc>
          <w:tcPr>
            <w:tcW w:type="dxa" w:w="3312"/>
          </w:tcPr>
          <w:p>
            <w:r/>
            <w:r>
              <w:rPr>
                <w:rFonts w:ascii="Consolas" w:hAnsi="Consolas"/>
                <w:sz w:val="17"/>
              </w:rPr>
              <w:t>SEC-04</w:t>
            </w:r>
          </w:p>
        </w:tc>
        <w:tc>
          <w:tcPr>
            <w:tcW w:type="dxa" w:w="3312"/>
          </w:tcPr>
          <w:p>
            <w:r/>
            <w:r>
              <w:rPr>
                <w:sz w:val="17"/>
              </w:rPr>
              <w:t>Signed manifest log mismatched all five chunks instead of one.</w:t>
            </w:r>
          </w:p>
        </w:tc>
        <w:tc>
          <w:tcPr>
            <w:tcW w:type="dxa" w:w="3312"/>
          </w:tcPr>
          <w:p>
            <w:r/>
            <w:r>
              <w:rPr>
                <w:b/>
                <w:color w:val="C05000"/>
                <w:sz w:val="17"/>
              </w:rPr>
              <w:t>FIXED — see 3.4</w:t>
            </w:r>
          </w:p>
        </w:tc>
      </w:tr>
      <w:tr>
        <w:tc>
          <w:tcPr>
            <w:tcW w:type="dxa" w:w="3312"/>
          </w:tcPr>
          <w:p>
            <w:r/>
            <w:r>
              <w:rPr>
                <w:rFonts w:ascii="Consolas" w:hAnsi="Consolas"/>
                <w:sz w:val="17"/>
              </w:rPr>
              <w:t>SEC-05</w:t>
            </w:r>
          </w:p>
        </w:tc>
        <w:tc>
          <w:tcPr>
            <w:tcW w:type="dxa" w:w="3312"/>
          </w:tcPr>
          <w:p>
            <w:r/>
            <w:r>
              <w:rPr>
                <w:sz w:val="17"/>
              </w:rPr>
              <w:t>Author and ModifyDate in the PDF matched the registered flag exactly.</w:t>
            </w:r>
          </w:p>
        </w:tc>
        <w:tc>
          <w:tcPr>
            <w:tcW w:type="dxa" w:w="3312"/>
          </w:tcPr>
          <w:p>
            <w:r/>
            <w:r>
              <w:rPr>
                <w:b/>
                <w:color w:val="1B6B2F"/>
                <w:sz w:val="17"/>
              </w:rPr>
              <w:t>NO CHANGE NEEDED</w:t>
            </w:r>
          </w:p>
        </w:tc>
      </w:tr>
    </w:tbl>
    <w:p/>
    <w:tbl>
      <w:tblPr>
        <w:tblStyle w:val="TableGrid"/>
        <w:tblW w:type="auto" w:w="0"/>
        <w:tblLook w:firstColumn="1" w:firstRow="1" w:lastColumn="0" w:lastRow="0" w:noHBand="0" w:noVBand="1" w:val="04A0"/>
      </w:tblPr>
      <w:tblGrid>
        <w:gridCol w:w="9936"/>
      </w:tblGrid>
      <w:tr>
        <w:tc>
          <w:tcPr>
            <w:tcW w:type="dxa" w:w="9936"/>
            <w:shd w:val="clear" w:fill="FDF3E7"/>
          </w:tcPr>
          <w:p>
            <w:r>
              <w:rPr>
                <w:b/>
                <w:color w:val="C05000"/>
                <w:sz w:val="19"/>
              </w:rPr>
              <w:t>Both corrections were applied to lib/challenges.ts and verified by solving each challenge from the shipped evidence text. All three sectors are now solvable, and every derived flag matches its registered defaultFlag and flagHash.</w:t>
            </w:r>
          </w:p>
        </w:tc>
      </w:tr>
    </w:tbl>
    <w:p>
      <w:pPr>
        <w:spacing w:after="40"/>
      </w:pPr>
    </w:p>
    <w:p>
      <w:r>
        <w:br w:type="page"/>
      </w:r>
    </w:p>
    <w:p>
      <w:pPr>
        <w:pStyle w:val="Heading1"/>
      </w:pPr>
      <w:r>
        <w:rPr>
          <w:color w:val="C05000"/>
        </w:rPr>
        <w:t>6. What These Three Establish</w:t>
      </w:r>
    </w:p>
    <w:p>
      <w:pPr>
        <w:spacing w:after="120"/>
      </w:pPr>
      <w:r>
        <w:rPr>
          <w:b w:val="0"/>
          <w:i w:val="0"/>
        </w:rPr>
        <w:t>Taken together the three sectors carry the group from a sealed archive they do not yet understand to a sealed archive they can act on.</w:t>
      </w:r>
    </w:p>
    <w:p>
      <w:pPr>
        <w:pStyle w:val="ListBullet"/>
        <w:spacing w:after="60"/>
        <w:ind w:left="360"/>
      </w:pPr>
      <w:r>
        <w:t>SEC-03 gives them the archive's logic. The vault was not keeping records for nostalgia — it was measuring who survives Reaper Strain exposure, and Sanctuary Zero's population was chosen using that measurement before anyone woke up.</w:t>
      </w:r>
    </w:p>
    <w:p>
      <w:pPr>
        <w:pStyle w:val="ListBullet"/>
        <w:spacing w:after="60"/>
        <w:ind w:left="360"/>
      </w:pPr>
      <w:r>
        <w:t>SEC-04 proves the vault lies, and that the lie was probably to protect people rather than to harm them. A player who leaves this sector can no longer assume any record in the archive is trustworthy, including the ones that exonerate.</w:t>
      </w:r>
    </w:p>
    <w:p>
      <w:pPr>
        <w:pStyle w:val="ListBullet"/>
        <w:spacing w:after="60"/>
        <w:ind w:left="360"/>
      </w:pPr>
      <w:r>
        <w:t>SEC-05 gives them a name. Every previous sector produced logs, hashes and timestamps. This one produces a person, and leaves the question of what he did deliberately unanswered.</w:t>
      </w:r>
    </w:p>
    <w:p>
      <w:pPr>
        <w:spacing w:after="120"/>
      </w:pPr>
      <w:r>
        <w:rPr>
          <w:b w:val="0"/>
          <w:i w:val="0"/>
        </w:rPr>
        <w:t>The arc stops here. The three CTFs release fragments 3, 4 and 5 and assemble the complete 450-record survivor archive, including the ground-truth Survival_Probability values that range from 0.482 to 0.975 across the cohort. What the player does with that archive — and the choice of who crosses the outer ring of turned — belongs to the Research act and the Final Exit, both outside this scope.</w:t>
      </w:r>
    </w:p>
    <w:p>
      <w:pPr>
        <w:spacing w:after="120"/>
        <w:jc w:val="center"/>
      </w:pPr>
      <w:r>
        <w:rPr>
          <w:b w:val="0"/>
          <w:i/>
          <w:color w:val="555555"/>
        </w:rPr>
        <w:t>— End of dossier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