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F7987" w14:textId="77777777" w:rsidR="001A4D81" w:rsidRDefault="001A4D81">
      <w:pPr>
        <w:pBdr>
          <w:top w:val="nil"/>
          <w:left w:val="nil"/>
          <w:bottom w:val="nil"/>
          <w:right w:val="nil"/>
          <w:between w:val="nil"/>
        </w:pBdr>
        <w:rPr>
          <w:color w:val="000000"/>
        </w:rPr>
      </w:pPr>
      <w:bookmarkStart w:id="0" w:name="_heading=h.gjdgxs" w:colFirst="0" w:colLast="0"/>
      <w:bookmarkEnd w:id="0"/>
    </w:p>
    <w:tbl>
      <w:tblPr>
        <w:tblStyle w:val="a9"/>
        <w:tblW w:w="8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48"/>
      </w:tblGrid>
      <w:tr w:rsidR="001A4D81" w14:paraId="2535D76A" w14:textId="77777777">
        <w:tc>
          <w:tcPr>
            <w:tcW w:w="8648" w:type="dxa"/>
          </w:tcPr>
          <w:p w14:paraId="45561B1E" w14:textId="77777777" w:rsidR="001A4D81" w:rsidRDefault="00000000">
            <w:pPr>
              <w:tabs>
                <w:tab w:val="left" w:pos="555"/>
              </w:tabs>
              <w:spacing w:line="480" w:lineRule="auto"/>
              <w:jc w:val="center"/>
              <w:rPr>
                <w:b/>
                <w:bCs/>
              </w:rPr>
            </w:pPr>
            <w:r>
              <w:rPr>
                <w:b/>
                <w:bCs/>
              </w:rPr>
              <w:t>FORM 2</w:t>
            </w:r>
          </w:p>
          <w:p w14:paraId="135B171B" w14:textId="77777777" w:rsidR="001A4D81" w:rsidRDefault="00000000">
            <w:pPr>
              <w:spacing w:line="480" w:lineRule="auto"/>
              <w:jc w:val="center"/>
              <w:rPr>
                <w:b/>
                <w:bCs/>
              </w:rPr>
            </w:pPr>
            <w:r>
              <w:rPr>
                <w:b/>
                <w:bCs/>
              </w:rPr>
              <w:t>THE PATENTS ACT, 1970</w:t>
            </w:r>
          </w:p>
          <w:p w14:paraId="28922C0B" w14:textId="77777777" w:rsidR="001A4D81" w:rsidRDefault="00000000">
            <w:pPr>
              <w:spacing w:line="480" w:lineRule="auto"/>
              <w:jc w:val="center"/>
              <w:rPr>
                <w:b/>
                <w:bCs/>
              </w:rPr>
            </w:pPr>
            <w:r>
              <w:rPr>
                <w:b/>
                <w:bCs/>
              </w:rPr>
              <w:t>(39 of 1970)</w:t>
            </w:r>
          </w:p>
          <w:p w14:paraId="0AB0758B" w14:textId="77777777" w:rsidR="001A4D81" w:rsidRDefault="00000000">
            <w:pPr>
              <w:spacing w:line="480" w:lineRule="auto"/>
              <w:jc w:val="center"/>
              <w:rPr>
                <w:b/>
                <w:bCs/>
              </w:rPr>
            </w:pPr>
            <w:r>
              <w:rPr>
                <w:b/>
                <w:bCs/>
              </w:rPr>
              <w:t>AND</w:t>
            </w:r>
          </w:p>
          <w:p w14:paraId="2E9A1D47" w14:textId="77777777" w:rsidR="001A4D81" w:rsidRDefault="00000000">
            <w:pPr>
              <w:spacing w:line="480" w:lineRule="auto"/>
              <w:jc w:val="center"/>
              <w:rPr>
                <w:b/>
                <w:bCs/>
              </w:rPr>
            </w:pPr>
            <w:r>
              <w:rPr>
                <w:b/>
                <w:bCs/>
              </w:rPr>
              <w:t>The Patents Rules, 2003</w:t>
            </w:r>
          </w:p>
          <w:p w14:paraId="69620714" w14:textId="77777777" w:rsidR="001A4D81" w:rsidRDefault="00000000">
            <w:pPr>
              <w:spacing w:line="480" w:lineRule="auto"/>
              <w:jc w:val="center"/>
              <w:rPr>
                <w:b/>
                <w:bCs/>
              </w:rPr>
            </w:pPr>
            <w:r>
              <w:rPr>
                <w:b/>
                <w:bCs/>
              </w:rPr>
              <w:t xml:space="preserve"> PROVISIONAL SPECIFICATION</w:t>
            </w:r>
          </w:p>
          <w:p w14:paraId="70B685BF" w14:textId="77777777" w:rsidR="001A4D81" w:rsidRDefault="00000000">
            <w:pPr>
              <w:keepLines/>
              <w:spacing w:line="480" w:lineRule="auto"/>
              <w:jc w:val="center"/>
              <w:rPr>
                <w:b/>
                <w:bCs/>
              </w:rPr>
            </w:pPr>
            <w:r>
              <w:rPr>
                <w:b/>
                <w:bCs/>
              </w:rPr>
              <w:t>(See Section 10 and Rule 13)</w:t>
            </w:r>
          </w:p>
        </w:tc>
      </w:tr>
      <w:tr w:rsidR="001A4D81" w14:paraId="0BBC1F33" w14:textId="77777777">
        <w:trPr>
          <w:trHeight w:val="1744"/>
        </w:trPr>
        <w:tc>
          <w:tcPr>
            <w:tcW w:w="8648" w:type="dxa"/>
          </w:tcPr>
          <w:p w14:paraId="1D95CE0F" w14:textId="77777777" w:rsidR="001A4D81" w:rsidRDefault="00000000">
            <w:pPr>
              <w:keepLines/>
              <w:numPr>
                <w:ilvl w:val="0"/>
                <w:numId w:val="2"/>
              </w:numPr>
              <w:pBdr>
                <w:top w:val="nil"/>
                <w:left w:val="nil"/>
                <w:bottom w:val="nil"/>
                <w:right w:val="nil"/>
                <w:between w:val="nil"/>
              </w:pBdr>
              <w:tabs>
                <w:tab w:val="center" w:pos="4154"/>
              </w:tabs>
              <w:spacing w:line="480" w:lineRule="auto"/>
              <w:ind w:left="342"/>
              <w:rPr>
                <w:b/>
                <w:bCs/>
                <w:color w:val="000000"/>
              </w:rPr>
            </w:pPr>
            <w:r>
              <w:rPr>
                <w:b/>
                <w:bCs/>
                <w:color w:val="000000"/>
              </w:rPr>
              <w:t xml:space="preserve">TITLE OF THE INVENTION: </w:t>
            </w:r>
          </w:p>
          <w:p w14:paraId="170ED30B" w14:textId="77777777" w:rsidR="001A4D81" w:rsidRDefault="00000000">
            <w:pPr>
              <w:jc w:val="center"/>
              <w:rPr>
                <w:b/>
                <w:bCs/>
              </w:rPr>
            </w:pPr>
            <w:r>
              <w:rPr>
                <w:b/>
                <w:bCs/>
              </w:rPr>
              <w:t>A SYSTEM AND A METHOD FOR SOC PREDICTION IN SOLAR EV BATTERIES USING QUANTUM NEURAL NETWORKS</w:t>
            </w:r>
          </w:p>
          <w:p w14:paraId="2EC30C50" w14:textId="77777777" w:rsidR="001A4D81" w:rsidRDefault="001A4D81">
            <w:pPr>
              <w:keepLines/>
              <w:pBdr>
                <w:top w:val="nil"/>
                <w:left w:val="nil"/>
                <w:bottom w:val="nil"/>
                <w:right w:val="nil"/>
                <w:between w:val="nil"/>
              </w:pBdr>
              <w:tabs>
                <w:tab w:val="center" w:pos="4154"/>
              </w:tabs>
              <w:spacing w:line="480" w:lineRule="auto"/>
              <w:ind w:left="720"/>
              <w:jc w:val="center"/>
              <w:rPr>
                <w:b/>
                <w:bCs/>
                <w:color w:val="000000"/>
              </w:rPr>
            </w:pPr>
          </w:p>
        </w:tc>
      </w:tr>
      <w:tr w:rsidR="001A4D81" w14:paraId="4EEBFC77" w14:textId="77777777">
        <w:trPr>
          <w:trHeight w:val="3164"/>
        </w:trPr>
        <w:tc>
          <w:tcPr>
            <w:tcW w:w="8648" w:type="dxa"/>
          </w:tcPr>
          <w:p w14:paraId="4B059B9A" w14:textId="77777777" w:rsidR="001A4D81" w:rsidRDefault="00000000">
            <w:pPr>
              <w:keepLines/>
              <w:spacing w:line="480" w:lineRule="auto"/>
              <w:jc w:val="both"/>
              <w:rPr>
                <w:b/>
                <w:bCs/>
              </w:rPr>
            </w:pPr>
            <w:r>
              <w:rPr>
                <w:b/>
                <w:bCs/>
              </w:rPr>
              <w:t>2. APPLICANT:</w:t>
            </w:r>
          </w:p>
          <w:p w14:paraId="312F4600" w14:textId="77777777" w:rsidR="001A4D81" w:rsidRDefault="00000000">
            <w:pPr>
              <w:spacing w:line="480" w:lineRule="auto"/>
              <w:jc w:val="both"/>
            </w:pPr>
            <w:r>
              <w:t>(a) NAME: Anvesha Singh</w:t>
            </w:r>
          </w:p>
          <w:p w14:paraId="7D9D4CC8" w14:textId="77777777" w:rsidR="001A4D81" w:rsidRDefault="00000000">
            <w:pPr>
              <w:spacing w:line="480" w:lineRule="auto"/>
              <w:jc w:val="both"/>
              <w:rPr>
                <w:color w:val="F9FBFD"/>
              </w:rPr>
            </w:pPr>
            <w:r>
              <w:t xml:space="preserve">(b) NATIONALITY: </w:t>
            </w:r>
            <w:r>
              <w:rPr>
                <w:b/>
                <w:bCs/>
              </w:rPr>
              <w:t>Indian</w:t>
            </w:r>
          </w:p>
          <w:p w14:paraId="16978C3F" w14:textId="77777777" w:rsidR="001A4D81" w:rsidRDefault="00000000">
            <w:pPr>
              <w:tabs>
                <w:tab w:val="left" w:pos="2291"/>
              </w:tabs>
              <w:spacing w:line="480" w:lineRule="auto"/>
              <w:jc w:val="both"/>
              <w:rPr>
                <w:color w:val="000000"/>
              </w:rPr>
            </w:pPr>
            <w:r>
              <w:t xml:space="preserve">(c) ADDRESS: </w:t>
            </w:r>
          </w:p>
        </w:tc>
      </w:tr>
      <w:tr w:rsidR="001A4D81" w14:paraId="3E389AE0" w14:textId="77777777">
        <w:trPr>
          <w:trHeight w:val="2061"/>
        </w:trPr>
        <w:tc>
          <w:tcPr>
            <w:tcW w:w="8648" w:type="dxa"/>
          </w:tcPr>
          <w:p w14:paraId="4E41482E" w14:textId="77777777" w:rsidR="001A4D81" w:rsidRDefault="00000000">
            <w:pPr>
              <w:keepLines/>
              <w:spacing w:line="480" w:lineRule="auto"/>
              <w:jc w:val="both"/>
              <w:rPr>
                <w:b/>
                <w:bCs/>
              </w:rPr>
            </w:pPr>
            <w:r>
              <w:rPr>
                <w:b/>
                <w:bCs/>
              </w:rPr>
              <w:t>4. PREAMBLE TO THE DESCRIPTION:</w:t>
            </w:r>
          </w:p>
          <w:p w14:paraId="397AFC94" w14:textId="77777777" w:rsidR="001A4D81" w:rsidRDefault="00000000">
            <w:pPr>
              <w:spacing w:line="480" w:lineRule="auto"/>
              <w:jc w:val="both"/>
              <w:rPr>
                <w:b/>
                <w:bCs/>
              </w:rPr>
            </w:pPr>
            <w:r>
              <w:rPr>
                <w:rFonts w:ascii="Arial" w:eastAsia="Arial" w:hAnsi="Arial" w:cs="Arial"/>
              </w:rPr>
              <w:t>The following specification particularly describes the invention.</w:t>
            </w:r>
          </w:p>
        </w:tc>
      </w:tr>
    </w:tbl>
    <w:p w14:paraId="1C9A4670" w14:textId="77777777" w:rsidR="001A4D81" w:rsidRDefault="00000000">
      <w:pPr>
        <w:pBdr>
          <w:top w:val="nil"/>
          <w:left w:val="nil"/>
          <w:bottom w:val="nil"/>
          <w:right w:val="nil"/>
          <w:between w:val="nil"/>
        </w:pBdr>
        <w:spacing w:after="200" w:line="480" w:lineRule="auto"/>
        <w:jc w:val="both"/>
        <w:rPr>
          <w:rFonts w:ascii="Arial" w:eastAsia="Arial" w:hAnsi="Arial" w:cs="Arial"/>
          <w:color w:val="000000"/>
        </w:rPr>
      </w:pPr>
      <w:r>
        <w:br w:type="page"/>
      </w:r>
    </w:p>
    <w:p w14:paraId="658CFFF7" w14:textId="77777777" w:rsidR="001A4D81" w:rsidRDefault="00000000">
      <w:pPr>
        <w:pBdr>
          <w:top w:val="nil"/>
          <w:left w:val="nil"/>
          <w:bottom w:val="nil"/>
          <w:right w:val="nil"/>
          <w:between w:val="nil"/>
        </w:pBdr>
        <w:spacing w:after="200" w:line="480" w:lineRule="auto"/>
        <w:ind w:left="-180" w:firstLine="180"/>
        <w:jc w:val="both"/>
        <w:rPr>
          <w:rFonts w:ascii="Arial" w:eastAsia="Arial" w:hAnsi="Arial" w:cs="Arial"/>
          <w:color w:val="000000"/>
        </w:rPr>
      </w:pPr>
      <w:r>
        <w:rPr>
          <w:rFonts w:ascii="Arial" w:eastAsia="Arial" w:hAnsi="Arial" w:cs="Arial"/>
          <w:b/>
          <w:bCs/>
          <w:color w:val="000000"/>
        </w:rPr>
        <w:lastRenderedPageBreak/>
        <w:t>DESCRIPTION OF THE INVENTION:</w:t>
      </w:r>
    </w:p>
    <w:p w14:paraId="6D44994B" w14:textId="77777777" w:rsidR="001A4D81" w:rsidRDefault="00000000">
      <w:pPr>
        <w:pBdr>
          <w:top w:val="nil"/>
          <w:left w:val="nil"/>
          <w:bottom w:val="nil"/>
          <w:right w:val="nil"/>
          <w:between w:val="nil"/>
        </w:pBdr>
        <w:spacing w:after="200" w:line="480" w:lineRule="auto"/>
        <w:jc w:val="both"/>
        <w:rPr>
          <w:rFonts w:ascii="Arial" w:eastAsia="Arial" w:hAnsi="Arial" w:cs="Arial"/>
          <w:b/>
          <w:bCs/>
          <w:color w:val="000000"/>
        </w:rPr>
      </w:pPr>
      <w:r>
        <w:rPr>
          <w:rFonts w:ascii="Arial" w:eastAsia="Arial" w:hAnsi="Arial" w:cs="Arial"/>
          <w:b/>
          <w:bCs/>
          <w:color w:val="000000"/>
        </w:rPr>
        <w:t>Technical Field of the Invention</w:t>
      </w:r>
    </w:p>
    <w:p w14:paraId="7BB9C808" w14:textId="77777777" w:rsidR="001A4D81" w:rsidRDefault="00000000">
      <w:pPr>
        <w:numPr>
          <w:ilvl w:val="0"/>
          <w:numId w:val="1"/>
        </w:numPr>
        <w:pBdr>
          <w:top w:val="nil"/>
          <w:left w:val="nil"/>
          <w:bottom w:val="nil"/>
          <w:right w:val="nil"/>
          <w:between w:val="nil"/>
        </w:pBdr>
        <w:spacing w:before="120" w:after="200" w:line="480" w:lineRule="auto"/>
        <w:ind w:left="0" w:firstLine="0"/>
        <w:jc w:val="both"/>
        <w:rPr>
          <w:rFonts w:ascii="Arial" w:eastAsia="Arial" w:hAnsi="Arial" w:cs="Arial"/>
          <w:color w:val="000000"/>
        </w:rPr>
      </w:pPr>
      <w:r>
        <w:rPr>
          <w:rFonts w:ascii="Arial" w:eastAsia="Arial" w:hAnsi="Arial" w:cs="Arial"/>
        </w:rPr>
        <w:t>The present invention relates to the field of battery management systems for solar electric vehicles, specifically to computational techniques used for predicting the state of charge (SOC) under dynamic driving and photovoltaic generation conditions. More particularly, the invention pertains to quantum neural network–based learning frameworks that model nonlinear battery behavior and short-horizon SOC evolution. The invention further concerns hybrid quantum–classical algorithms designed for enhanced accuracy, robustness, and adaptability in real-time energy management.</w:t>
      </w:r>
    </w:p>
    <w:p w14:paraId="213BC96D" w14:textId="77777777" w:rsidR="001A4D81" w:rsidRDefault="00000000">
      <w:pPr>
        <w:pBdr>
          <w:top w:val="nil"/>
          <w:left w:val="nil"/>
          <w:bottom w:val="nil"/>
          <w:right w:val="nil"/>
          <w:between w:val="nil"/>
        </w:pBdr>
        <w:spacing w:before="120" w:after="200" w:line="480" w:lineRule="auto"/>
        <w:jc w:val="both"/>
        <w:rPr>
          <w:rFonts w:ascii="Arial" w:eastAsia="Arial" w:hAnsi="Arial" w:cs="Arial"/>
          <w:b/>
          <w:bCs/>
          <w:color w:val="000000"/>
        </w:rPr>
      </w:pPr>
      <w:r>
        <w:rPr>
          <w:rFonts w:ascii="Arial" w:eastAsia="Arial" w:hAnsi="Arial" w:cs="Arial"/>
          <w:b/>
          <w:bCs/>
          <w:color w:val="000000"/>
        </w:rPr>
        <w:t>Background of the Invention</w:t>
      </w:r>
    </w:p>
    <w:p w14:paraId="0DAB3171" w14:textId="77777777" w:rsidR="001A4D81" w:rsidRDefault="00000000">
      <w:pPr>
        <w:numPr>
          <w:ilvl w:val="0"/>
          <w:numId w:val="1"/>
        </w:numPr>
        <w:pBdr>
          <w:top w:val="nil"/>
          <w:left w:val="nil"/>
          <w:bottom w:val="nil"/>
          <w:right w:val="nil"/>
          <w:between w:val="nil"/>
        </w:pBdr>
        <w:spacing w:before="120" w:after="200" w:line="480" w:lineRule="auto"/>
        <w:ind w:left="0" w:firstLine="0"/>
        <w:jc w:val="both"/>
        <w:rPr>
          <w:rFonts w:ascii="Arial" w:eastAsia="Arial" w:hAnsi="Arial" w:cs="Arial"/>
          <w:color w:val="000000"/>
        </w:rPr>
      </w:pPr>
      <w:r>
        <w:rPr>
          <w:rFonts w:ascii="Arial" w:eastAsia="Arial" w:hAnsi="Arial" w:cs="Arial"/>
        </w:rPr>
        <w:t xml:space="preserve"> Accurate state of charge (SOC) prediction is essential for ensuring the reliability, safety, and energy efficiency of solar electric vehicles. In real driving conditions, battery SOC varies dynamically due to fluctuating traction loads, regenerative braking cycles, environmental influences, and the intermittent nature of photovoltaic (PV) power generation. Classical SOC estimation methods such as Coulomb counting, open-circuit voltage measurements, and Extended Kalman Filters (EKF) often face challenges when modeling the nonlinear, time-varying behavior of battery states, especially under high-dimensional feature inputs combining driving patterns, temperature variations, and PV generation characteristics. Parameter drift, cumulative errors, and sensitivity to sensor noise further </w:t>
      </w:r>
      <w:r>
        <w:rPr>
          <w:rFonts w:ascii="Arial" w:eastAsia="Arial" w:hAnsi="Arial" w:cs="Arial"/>
        </w:rPr>
        <w:lastRenderedPageBreak/>
        <w:t>reduce the long-term accuracy and stability of these classical estimation approaches.</w:t>
      </w:r>
    </w:p>
    <w:p w14:paraId="7B948387" w14:textId="77777777" w:rsidR="001A4D81" w:rsidRDefault="00000000">
      <w:pPr>
        <w:numPr>
          <w:ilvl w:val="0"/>
          <w:numId w:val="1"/>
        </w:numPr>
        <w:pBdr>
          <w:top w:val="nil"/>
          <w:left w:val="nil"/>
          <w:bottom w:val="nil"/>
          <w:right w:val="nil"/>
          <w:between w:val="nil"/>
        </w:pBdr>
        <w:spacing w:before="120" w:after="200" w:line="480" w:lineRule="auto"/>
        <w:ind w:left="0" w:firstLine="0"/>
        <w:jc w:val="both"/>
        <w:rPr>
          <w:rFonts w:ascii="Arial" w:eastAsia="Arial" w:hAnsi="Arial" w:cs="Arial"/>
          <w:color w:val="000000"/>
        </w:rPr>
      </w:pPr>
      <w:r>
        <w:rPr>
          <w:rFonts w:ascii="Arial" w:eastAsia="Arial" w:hAnsi="Arial" w:cs="Arial"/>
        </w:rPr>
        <w:t>Moreover, modern solar EVs require fast, adaptive, and computationally efficient SOC prediction systems capable of handling both stochastic input conditions and nonlinear internal battery dynamics. Traditional machine learning models improve performance but remain limited by classical computational constraints when capturing quantum-scale interactions, high-order correlations, or complex feature entanglements present in battery behavior. Quantum Neural Networks (QNNs), through parameterized quantum circuits and hybrid quantum–classical optimization, offer the potential to learn richer nonlinear mappings and achieve higher predictive performance in short-horizon SOC forecasting. However, there is currently no integrated system specifically designed to incorporate QNN-based SOC prediction into real-time solar EV battery management workflows, creating the need for a robust and fully modeled quantum-enhanced prediction architecture.</w:t>
      </w:r>
    </w:p>
    <w:p w14:paraId="0B86DD30" w14:textId="77777777" w:rsidR="001A4D81" w:rsidRDefault="00000000">
      <w:pPr>
        <w:pBdr>
          <w:top w:val="nil"/>
          <w:left w:val="nil"/>
          <w:bottom w:val="nil"/>
          <w:right w:val="nil"/>
          <w:between w:val="nil"/>
        </w:pBdr>
        <w:spacing w:after="200" w:line="480" w:lineRule="auto"/>
        <w:jc w:val="both"/>
        <w:rPr>
          <w:rFonts w:ascii="Arial" w:eastAsia="Arial" w:hAnsi="Arial" w:cs="Arial"/>
          <w:b/>
          <w:bCs/>
          <w:color w:val="000000"/>
        </w:rPr>
      </w:pPr>
      <w:r>
        <w:rPr>
          <w:rFonts w:ascii="Arial" w:eastAsia="Arial" w:hAnsi="Arial" w:cs="Arial"/>
          <w:b/>
          <w:bCs/>
          <w:color w:val="000000"/>
        </w:rPr>
        <w:t>Object of the invention</w:t>
      </w:r>
    </w:p>
    <w:p w14:paraId="4FE039C0" w14:textId="77777777" w:rsidR="001A4D81" w:rsidRDefault="00000000">
      <w:pPr>
        <w:numPr>
          <w:ilvl w:val="0"/>
          <w:numId w:val="1"/>
        </w:numPr>
        <w:pBdr>
          <w:top w:val="nil"/>
          <w:left w:val="nil"/>
          <w:bottom w:val="nil"/>
          <w:right w:val="nil"/>
          <w:between w:val="nil"/>
        </w:pBdr>
        <w:spacing w:before="120" w:after="200" w:line="480" w:lineRule="auto"/>
        <w:ind w:left="0" w:firstLine="0"/>
        <w:jc w:val="both"/>
        <w:rPr>
          <w:rFonts w:ascii="Arial" w:eastAsia="Arial" w:hAnsi="Arial" w:cs="Arial"/>
        </w:rPr>
      </w:pPr>
      <w:r>
        <w:rPr>
          <w:rFonts w:ascii="Arial" w:eastAsia="Arial" w:hAnsi="Arial" w:cs="Arial"/>
        </w:rPr>
        <w:t>A principal objective of the invention is to develop a system and method for predicting the state of charge (SOC) of solar electric vehicle battery packs using quantum neural networks capable of modeling nonlinear and dynamic battery behavior.</w:t>
      </w:r>
    </w:p>
    <w:p w14:paraId="6814673E" w14:textId="77777777" w:rsidR="001A4D81" w:rsidRDefault="00000000">
      <w:pPr>
        <w:numPr>
          <w:ilvl w:val="0"/>
          <w:numId w:val="1"/>
        </w:numPr>
        <w:pBdr>
          <w:top w:val="nil"/>
          <w:left w:val="nil"/>
          <w:bottom w:val="nil"/>
          <w:right w:val="nil"/>
          <w:between w:val="nil"/>
        </w:pBdr>
        <w:spacing w:before="120" w:after="200" w:line="480" w:lineRule="auto"/>
        <w:ind w:left="0" w:firstLine="0"/>
        <w:jc w:val="both"/>
        <w:rPr>
          <w:rFonts w:ascii="Arial" w:eastAsia="Arial" w:hAnsi="Arial" w:cs="Arial"/>
        </w:rPr>
      </w:pPr>
      <w:r>
        <w:rPr>
          <w:rFonts w:ascii="Arial" w:eastAsia="Arial" w:hAnsi="Arial" w:cs="Arial"/>
        </w:rPr>
        <w:t xml:space="preserve">Another objective of the invention is to provide a hybrid quantum–classical computational framework in which parameterized quantum circuits </w:t>
      </w:r>
      <w:r>
        <w:rPr>
          <w:rFonts w:ascii="Arial" w:eastAsia="Arial" w:hAnsi="Arial" w:cs="Arial"/>
        </w:rPr>
        <w:lastRenderedPageBreak/>
        <w:t>learn short-horizon SOC evolution from vehicle, battery, and photovoltaic feature inputs, while classical optimizers update circuit parameters efficiently.</w:t>
      </w:r>
    </w:p>
    <w:p w14:paraId="71C9B653" w14:textId="77777777" w:rsidR="001A4D81" w:rsidRDefault="00000000">
      <w:pPr>
        <w:numPr>
          <w:ilvl w:val="0"/>
          <w:numId w:val="1"/>
        </w:numPr>
        <w:pBdr>
          <w:top w:val="nil"/>
          <w:left w:val="nil"/>
          <w:bottom w:val="nil"/>
          <w:right w:val="nil"/>
          <w:between w:val="nil"/>
        </w:pBdr>
        <w:spacing w:before="120" w:after="200" w:line="480" w:lineRule="auto"/>
        <w:ind w:left="0" w:firstLine="0"/>
        <w:jc w:val="both"/>
        <w:rPr>
          <w:rFonts w:ascii="Arial" w:eastAsia="Arial" w:hAnsi="Arial" w:cs="Arial"/>
        </w:rPr>
      </w:pPr>
      <w:r>
        <w:rPr>
          <w:rFonts w:ascii="Arial" w:eastAsia="Arial" w:hAnsi="Arial" w:cs="Arial"/>
        </w:rPr>
        <w:t>Another objective of the invention is to overcome limitations of classical SOC estimation techniques by improving robustness to nonlinearities, sensor noise, parameter drift, and rapidly changing PV-generation and traction-load conditions.</w:t>
      </w:r>
    </w:p>
    <w:p w14:paraId="62647135" w14:textId="77777777" w:rsidR="001A4D81" w:rsidRDefault="00000000">
      <w:pPr>
        <w:numPr>
          <w:ilvl w:val="0"/>
          <w:numId w:val="1"/>
        </w:numPr>
        <w:pBdr>
          <w:top w:val="nil"/>
          <w:left w:val="nil"/>
          <w:bottom w:val="nil"/>
          <w:right w:val="nil"/>
          <w:between w:val="nil"/>
        </w:pBdr>
        <w:spacing w:before="120" w:after="200" w:line="480" w:lineRule="auto"/>
        <w:ind w:left="0" w:firstLine="0"/>
        <w:jc w:val="both"/>
        <w:rPr>
          <w:rFonts w:ascii="Arial" w:eastAsia="Arial" w:hAnsi="Arial" w:cs="Arial"/>
        </w:rPr>
      </w:pPr>
      <w:r>
        <w:rPr>
          <w:rFonts w:ascii="Arial" w:eastAsia="Arial" w:hAnsi="Arial" w:cs="Arial"/>
        </w:rPr>
        <w:t>Another objective of the invention is to enable integration of quantum-enhanced SOC prediction into real-time battery management systems, supporting improved energy management, range estimation, and battery protection in solar electric vehicles.</w:t>
      </w:r>
    </w:p>
    <w:p w14:paraId="4257DD30" w14:textId="77777777" w:rsidR="001A4D81" w:rsidRDefault="00000000">
      <w:pPr>
        <w:numPr>
          <w:ilvl w:val="0"/>
          <w:numId w:val="1"/>
        </w:numPr>
        <w:pBdr>
          <w:top w:val="nil"/>
          <w:left w:val="nil"/>
          <w:bottom w:val="nil"/>
          <w:right w:val="nil"/>
          <w:between w:val="nil"/>
        </w:pBdr>
        <w:spacing w:before="120" w:after="200" w:line="480" w:lineRule="auto"/>
        <w:ind w:left="0" w:firstLine="0"/>
        <w:jc w:val="both"/>
        <w:rPr>
          <w:rFonts w:ascii="Arial" w:eastAsia="Arial" w:hAnsi="Arial" w:cs="Arial"/>
        </w:rPr>
      </w:pPr>
      <w:r>
        <w:rPr>
          <w:rFonts w:ascii="Arial" w:eastAsia="Arial" w:hAnsi="Arial" w:cs="Arial"/>
        </w:rPr>
        <w:t>These and other objects and characteristics of the present invention will become apparent from the further disclosure to be made in the detailed description given below.</w:t>
      </w:r>
    </w:p>
    <w:p w14:paraId="3FCD5999" w14:textId="77777777" w:rsidR="001A4D81" w:rsidRDefault="00000000">
      <w:pPr>
        <w:pBdr>
          <w:top w:val="nil"/>
          <w:left w:val="nil"/>
          <w:bottom w:val="nil"/>
          <w:right w:val="nil"/>
          <w:between w:val="nil"/>
        </w:pBdr>
        <w:spacing w:before="120" w:after="200" w:line="480" w:lineRule="auto"/>
        <w:jc w:val="both"/>
        <w:rPr>
          <w:rFonts w:ascii="Arial" w:eastAsia="Arial" w:hAnsi="Arial" w:cs="Arial"/>
          <w:color w:val="000000"/>
        </w:rPr>
      </w:pPr>
      <w:r>
        <w:rPr>
          <w:rFonts w:ascii="Arial" w:eastAsia="Arial" w:hAnsi="Arial" w:cs="Arial"/>
          <w:b/>
          <w:bCs/>
          <w:color w:val="000000"/>
        </w:rPr>
        <w:t xml:space="preserve">Summary of the Invention </w:t>
      </w:r>
    </w:p>
    <w:p w14:paraId="43F31048" w14:textId="77777777" w:rsidR="001A4D81" w:rsidRDefault="00000000">
      <w:pPr>
        <w:numPr>
          <w:ilvl w:val="0"/>
          <w:numId w:val="1"/>
        </w:numPr>
        <w:pBdr>
          <w:top w:val="nil"/>
          <w:left w:val="nil"/>
          <w:bottom w:val="nil"/>
          <w:right w:val="nil"/>
          <w:between w:val="nil"/>
        </w:pBdr>
        <w:spacing w:after="200" w:line="480" w:lineRule="auto"/>
        <w:ind w:left="0" w:firstLine="0"/>
        <w:jc w:val="both"/>
        <w:rPr>
          <w:rFonts w:ascii="Arial" w:eastAsia="Arial" w:hAnsi="Arial" w:cs="Arial"/>
          <w:color w:val="000000"/>
        </w:rPr>
      </w:pPr>
      <w:r>
        <w:rPr>
          <w:rFonts w:ascii="Arial" w:eastAsia="Arial" w:hAnsi="Arial" w:cs="Arial"/>
        </w:rPr>
        <w:t>This summary is provided to introduce a selection of concepts in a simplified form that are further described below in the detailed description. This summary is not intended to identify key features or essential features of the claimed subject matter, nor is it intended to be used as an aid in determining the scope of the claimed subject matter.</w:t>
      </w:r>
    </w:p>
    <w:p w14:paraId="5EC481DB" w14:textId="77777777" w:rsidR="001A4D81" w:rsidRDefault="00000000">
      <w:pPr>
        <w:numPr>
          <w:ilvl w:val="0"/>
          <w:numId w:val="1"/>
        </w:numPr>
        <w:pBdr>
          <w:top w:val="nil"/>
          <w:left w:val="nil"/>
          <w:bottom w:val="nil"/>
          <w:right w:val="nil"/>
          <w:between w:val="nil"/>
        </w:pBdr>
        <w:spacing w:after="200" w:line="480" w:lineRule="auto"/>
        <w:ind w:left="0" w:firstLine="0"/>
        <w:jc w:val="both"/>
        <w:rPr>
          <w:rFonts w:ascii="Arial" w:eastAsia="Arial" w:hAnsi="Arial" w:cs="Arial"/>
          <w:color w:val="000000"/>
        </w:rPr>
      </w:pPr>
      <w:r>
        <w:rPr>
          <w:rFonts w:ascii="Arial" w:eastAsia="Arial" w:hAnsi="Arial" w:cs="Arial"/>
        </w:rPr>
        <w:t xml:space="preserve">The present invention provides a system and method for predicting the state of charge (SOC) of solar electric vehicle battery packs using </w:t>
      </w:r>
      <w:r>
        <w:rPr>
          <w:rFonts w:ascii="Arial" w:eastAsia="Arial" w:hAnsi="Arial" w:cs="Arial"/>
        </w:rPr>
        <w:lastRenderedPageBreak/>
        <w:t>quantum neural networks. The system includes a data acquisition module that gathers vehicle traction load, regenerative braking profiles, temperature values, photovoltaic (PV) generation metrics, and real-time battery telemetry. A quantum neural network (QNN) module employs parameterized quantum circuits to learn nonlinear mappings between these inputs and future SOC values. A hybrid quantum–classical computation engine enables the quantum circuit to produce SOC predictions while classical optimization routines update circuit parameters to minimize prediction error over a training horizon.</w:t>
      </w:r>
    </w:p>
    <w:p w14:paraId="33B69762" w14:textId="77777777" w:rsidR="001A4D81" w:rsidRDefault="00000000">
      <w:pPr>
        <w:numPr>
          <w:ilvl w:val="0"/>
          <w:numId w:val="1"/>
        </w:numPr>
        <w:pBdr>
          <w:top w:val="nil"/>
          <w:left w:val="nil"/>
          <w:bottom w:val="nil"/>
          <w:right w:val="nil"/>
          <w:between w:val="nil"/>
        </w:pBdr>
        <w:spacing w:after="200" w:line="480" w:lineRule="auto"/>
        <w:ind w:left="0" w:firstLine="0"/>
        <w:jc w:val="both"/>
        <w:rPr>
          <w:rFonts w:ascii="Arial" w:eastAsia="Arial" w:hAnsi="Arial" w:cs="Arial"/>
          <w:color w:val="000000"/>
        </w:rPr>
      </w:pPr>
      <w:r>
        <w:rPr>
          <w:rFonts w:ascii="Arial" w:eastAsia="Arial" w:hAnsi="Arial" w:cs="Arial"/>
        </w:rPr>
        <w:t>In some embodiments, the invention addresses the deficiencies of classical SOC estimation techniques by capturing nonlinear battery behavior, reducing drift accumulation, and maintaining accuracy under dynamic driving and PV-generation conditions. The QNN’s representational capacity allows the system to model higher-order correlations that arise from fluctuating photovoltaic power, variable traction loads, ambient temperature shifts, and regenerative braking cycles. Lightweight filtering and normalization further stabilize the input data before it is provided to the quantum circuit, ensuring consistent prediction performance across a range of operational states.</w:t>
      </w:r>
    </w:p>
    <w:p w14:paraId="7EDA68DC" w14:textId="77777777" w:rsidR="001A4D81" w:rsidRDefault="00000000">
      <w:pPr>
        <w:numPr>
          <w:ilvl w:val="0"/>
          <w:numId w:val="1"/>
        </w:numPr>
        <w:pBdr>
          <w:top w:val="nil"/>
          <w:left w:val="nil"/>
          <w:bottom w:val="nil"/>
          <w:right w:val="nil"/>
          <w:between w:val="nil"/>
        </w:pBdr>
        <w:spacing w:after="200" w:line="480" w:lineRule="auto"/>
        <w:ind w:left="0" w:firstLine="0"/>
        <w:jc w:val="both"/>
        <w:rPr>
          <w:rFonts w:ascii="Arial" w:eastAsia="Arial" w:hAnsi="Arial" w:cs="Arial"/>
          <w:color w:val="000000"/>
        </w:rPr>
      </w:pPr>
      <w:r>
        <w:rPr>
          <w:rFonts w:ascii="Arial" w:eastAsia="Arial" w:hAnsi="Arial" w:cs="Arial"/>
        </w:rPr>
        <w:t xml:space="preserve">Embodiments of the invention may further include a real-time SOC prediction workflow integrated into a solar EV’s battery management system. This workflow comprises data preprocessing, encoding of classical features into quantum states, quantum circuit execution, classical loss computation, iterative parameter updates, and short-horizon SOC </w:t>
      </w:r>
      <w:r>
        <w:rPr>
          <w:rFonts w:ascii="Arial" w:eastAsia="Arial" w:hAnsi="Arial" w:cs="Arial"/>
        </w:rPr>
        <w:lastRenderedPageBreak/>
        <w:t>forecasting. The system outputs SOC estimates that support energy management decisions, predictive range estimation, and thermal and electrical protections for battery longevity. The hybrid design enables deployment on near-term quantum hardware or high-fidelity quantum simulators while maintaining compatibility with embedded automotive systems.</w:t>
      </w:r>
    </w:p>
    <w:p w14:paraId="1BF5AD18" w14:textId="77777777" w:rsidR="001A4D81" w:rsidRDefault="00000000">
      <w:pPr>
        <w:numPr>
          <w:ilvl w:val="0"/>
          <w:numId w:val="1"/>
        </w:numPr>
        <w:pBdr>
          <w:top w:val="nil"/>
          <w:left w:val="nil"/>
          <w:bottom w:val="nil"/>
          <w:right w:val="nil"/>
          <w:between w:val="nil"/>
        </w:pBdr>
        <w:spacing w:after="200" w:line="480" w:lineRule="auto"/>
        <w:ind w:left="0" w:firstLine="0"/>
        <w:jc w:val="both"/>
        <w:rPr>
          <w:rFonts w:ascii="Arial" w:eastAsia="Arial" w:hAnsi="Arial" w:cs="Arial"/>
          <w:color w:val="000000"/>
        </w:rPr>
      </w:pPr>
      <w:r>
        <w:rPr>
          <w:rFonts w:ascii="Arial" w:eastAsia="Arial" w:hAnsi="Arial" w:cs="Arial"/>
        </w:rPr>
        <w:t>To the accomplishment of the foregoing and related ends, the one or more aspects comprise the features hereinafter fully described and particularly pointed out in the claims. The following description and the drawings set forth in detail certain illustrative features of the one or more aspects. These features are indicative, however, of a few of the various ways in which the principles of various aspects may be employed, and this description is intended to include all such aspects and their equivalents.</w:t>
      </w:r>
    </w:p>
    <w:p w14:paraId="3AFE3E39" w14:textId="77777777" w:rsidR="001A4D81" w:rsidRDefault="00000000">
      <w:pPr>
        <w:pBdr>
          <w:top w:val="nil"/>
          <w:left w:val="nil"/>
          <w:bottom w:val="nil"/>
          <w:right w:val="nil"/>
          <w:between w:val="nil"/>
        </w:pBdr>
        <w:spacing w:after="200" w:line="480" w:lineRule="auto"/>
        <w:jc w:val="both"/>
        <w:rPr>
          <w:rFonts w:ascii="Arial" w:eastAsia="Arial" w:hAnsi="Arial" w:cs="Arial"/>
          <w:b/>
          <w:bCs/>
        </w:rPr>
      </w:pPr>
      <w:r>
        <w:rPr>
          <w:rFonts w:ascii="Arial" w:eastAsia="Arial" w:hAnsi="Arial" w:cs="Arial"/>
          <w:b/>
          <w:bCs/>
        </w:rPr>
        <w:t>Brief Description of Drawings</w:t>
      </w:r>
    </w:p>
    <w:p w14:paraId="46A5D5A4" w14:textId="77777777" w:rsidR="001A4D81" w:rsidRDefault="00000000">
      <w:pPr>
        <w:numPr>
          <w:ilvl w:val="0"/>
          <w:numId w:val="1"/>
        </w:numPr>
        <w:pBdr>
          <w:top w:val="nil"/>
          <w:left w:val="nil"/>
          <w:bottom w:val="nil"/>
          <w:right w:val="nil"/>
          <w:between w:val="nil"/>
        </w:pBdr>
        <w:spacing w:after="200" w:line="480" w:lineRule="auto"/>
        <w:ind w:left="0" w:firstLine="0"/>
        <w:jc w:val="both"/>
        <w:rPr>
          <w:rFonts w:ascii="Arial" w:eastAsia="Arial" w:hAnsi="Arial" w:cs="Arial"/>
        </w:rPr>
      </w:pPr>
      <w:r>
        <w:rPr>
          <w:rFonts w:ascii="Arial" w:eastAsia="Arial" w:hAnsi="Arial" w:cs="Arial"/>
        </w:rPr>
        <w:t>The foregoing and other features of the embodiments will become more apparent from the following detailed description when read in conjunction with the accompanying drawings. In the drawings, like reference numerals refer to like elements.</w:t>
      </w:r>
    </w:p>
    <w:p w14:paraId="6301D29C" w14:textId="77777777" w:rsidR="001A4D81" w:rsidRDefault="00000000">
      <w:pPr>
        <w:numPr>
          <w:ilvl w:val="0"/>
          <w:numId w:val="1"/>
        </w:numPr>
        <w:pBdr>
          <w:top w:val="nil"/>
          <w:left w:val="nil"/>
          <w:bottom w:val="nil"/>
          <w:right w:val="nil"/>
          <w:between w:val="nil"/>
        </w:pBdr>
        <w:spacing w:after="200" w:line="480" w:lineRule="auto"/>
        <w:ind w:left="0" w:firstLine="0"/>
        <w:jc w:val="both"/>
        <w:rPr>
          <w:rFonts w:ascii="Arial" w:eastAsia="Arial" w:hAnsi="Arial" w:cs="Arial"/>
        </w:rPr>
      </w:pPr>
      <w:r>
        <w:rPr>
          <w:rFonts w:ascii="Arial" w:eastAsia="Arial" w:hAnsi="Arial" w:cs="Arial"/>
        </w:rPr>
        <w:t xml:space="preserve">In the following description, numerous specific details are set forth to provide a thorough understanding of the embodiments of the invention. However, it will be apparent to one skilled in the art that the embodiments may be practiced without these specific details or with equivalent alternative configurations. Well-known battery-modeling techniques, filtering </w:t>
      </w:r>
      <w:r>
        <w:rPr>
          <w:rFonts w:ascii="Arial" w:eastAsia="Arial" w:hAnsi="Arial" w:cs="Arial"/>
        </w:rPr>
        <w:lastRenderedPageBreak/>
        <w:t>operations, and neural network structures are represented in block diagram form to avoid unnecessarily obscuring the embodiments.</w:t>
      </w:r>
    </w:p>
    <w:p w14:paraId="57F9A94D" w14:textId="77777777" w:rsidR="001A4D81" w:rsidRDefault="00000000">
      <w:pPr>
        <w:numPr>
          <w:ilvl w:val="0"/>
          <w:numId w:val="1"/>
        </w:numPr>
        <w:pBdr>
          <w:top w:val="nil"/>
          <w:left w:val="nil"/>
          <w:bottom w:val="nil"/>
          <w:right w:val="nil"/>
          <w:between w:val="nil"/>
        </w:pBdr>
        <w:spacing w:after="200" w:line="480" w:lineRule="auto"/>
        <w:ind w:left="0" w:firstLine="0"/>
        <w:jc w:val="both"/>
        <w:rPr>
          <w:rFonts w:ascii="Arial" w:eastAsia="Arial" w:hAnsi="Arial" w:cs="Arial"/>
        </w:rPr>
      </w:pPr>
      <w:r>
        <w:rPr>
          <w:rFonts w:ascii="Arial" w:eastAsia="Arial" w:hAnsi="Arial" w:cs="Arial"/>
          <w:b/>
          <w:bCs/>
        </w:rPr>
        <w:t>FIG. 1</w:t>
      </w:r>
      <w:r>
        <w:rPr>
          <w:rFonts w:ascii="Arial" w:eastAsia="Arial" w:hAnsi="Arial" w:cs="Arial"/>
        </w:rPr>
        <w:t xml:space="preserve"> illustrates a block diagram representing the components of a quantum neural network–based state-of-charge prediction system for solar electric vehicle battery packs, including data acquisition, preprocessing, quantum encoding, QNN circuit execution, hybrid optimization, SOC forecasting, and output modules.</w:t>
      </w:r>
    </w:p>
    <w:p w14:paraId="1FE0C7C4" w14:textId="77777777" w:rsidR="001A4D81" w:rsidRDefault="00000000">
      <w:pPr>
        <w:numPr>
          <w:ilvl w:val="0"/>
          <w:numId w:val="1"/>
        </w:numPr>
        <w:pBdr>
          <w:top w:val="nil"/>
          <w:left w:val="nil"/>
          <w:bottom w:val="nil"/>
          <w:right w:val="nil"/>
          <w:between w:val="nil"/>
        </w:pBdr>
        <w:spacing w:after="200" w:line="480" w:lineRule="auto"/>
        <w:ind w:left="0" w:firstLine="0"/>
        <w:jc w:val="both"/>
        <w:rPr>
          <w:rFonts w:ascii="Arial" w:eastAsia="Arial" w:hAnsi="Arial" w:cs="Arial"/>
        </w:rPr>
      </w:pPr>
      <w:r>
        <w:rPr>
          <w:rFonts w:ascii="Arial" w:eastAsia="Arial" w:hAnsi="Arial" w:cs="Arial"/>
          <w:b/>
          <w:bCs/>
        </w:rPr>
        <w:t xml:space="preserve">FIG. 2 </w:t>
      </w:r>
      <w:r>
        <w:rPr>
          <w:rFonts w:ascii="Arial" w:eastAsia="Arial" w:hAnsi="Arial" w:cs="Arial"/>
        </w:rPr>
        <w:t>illustrates a flowchart representing the method for collecting battery and photovoltaic data, preprocessing inputs, encoding features into quantum states, executing the quantum neural network, updating parameters through hybrid optimization, generating short-horizon SOC predictions, and delivering real-time outputs to the battery management system using the components of FIG. 1.</w:t>
      </w:r>
    </w:p>
    <w:p w14:paraId="0D5C670C" w14:textId="77777777" w:rsidR="001A4D81" w:rsidRDefault="00000000">
      <w:pPr>
        <w:pBdr>
          <w:top w:val="nil"/>
          <w:left w:val="nil"/>
          <w:bottom w:val="nil"/>
          <w:right w:val="nil"/>
          <w:between w:val="nil"/>
        </w:pBdr>
        <w:spacing w:after="200" w:line="480" w:lineRule="auto"/>
        <w:jc w:val="both"/>
        <w:rPr>
          <w:rFonts w:ascii="Arial" w:eastAsia="Arial" w:hAnsi="Arial" w:cs="Arial"/>
          <w:color w:val="000000"/>
        </w:rPr>
      </w:pPr>
      <w:r>
        <w:rPr>
          <w:rFonts w:ascii="Arial" w:eastAsia="Arial" w:hAnsi="Arial" w:cs="Arial"/>
          <w:b/>
          <w:bCs/>
          <w:color w:val="000000"/>
        </w:rPr>
        <w:t>Detailed Description of the Invention</w:t>
      </w:r>
    </w:p>
    <w:p w14:paraId="2CE9FDB8" w14:textId="77777777" w:rsidR="001A4D81" w:rsidRDefault="00000000">
      <w:pPr>
        <w:numPr>
          <w:ilvl w:val="0"/>
          <w:numId w:val="1"/>
        </w:numPr>
        <w:pBdr>
          <w:top w:val="nil"/>
          <w:left w:val="nil"/>
          <w:bottom w:val="nil"/>
          <w:right w:val="nil"/>
          <w:between w:val="nil"/>
        </w:pBdr>
        <w:spacing w:after="200" w:line="480" w:lineRule="auto"/>
        <w:ind w:left="0" w:firstLine="0"/>
        <w:jc w:val="both"/>
        <w:rPr>
          <w:rFonts w:ascii="Arial" w:eastAsia="Arial" w:hAnsi="Arial" w:cs="Arial"/>
        </w:rPr>
      </w:pPr>
      <w:r>
        <w:rPr>
          <w:rFonts w:ascii="Arial" w:eastAsia="Arial" w:hAnsi="Arial" w:cs="Arial"/>
        </w:rPr>
        <w:t>Reference will now be made in detail to the description of the present subject matter, one or more examples of which are shown in the figures. Each example is provided to explain the subject matter and not as a limitation. Various changes and modifications obvious to one skilled in the art to which the invention pertains are deemed to be within the spirit, scope, and contemplation of the invention.</w:t>
      </w:r>
    </w:p>
    <w:p w14:paraId="27B744D3" w14:textId="77777777" w:rsidR="001A4D81" w:rsidRDefault="00000000">
      <w:pPr>
        <w:numPr>
          <w:ilvl w:val="0"/>
          <w:numId w:val="1"/>
        </w:numPr>
        <w:pBdr>
          <w:top w:val="nil"/>
          <w:left w:val="nil"/>
          <w:bottom w:val="nil"/>
          <w:right w:val="nil"/>
          <w:between w:val="nil"/>
        </w:pBdr>
        <w:spacing w:after="200" w:line="480" w:lineRule="auto"/>
        <w:ind w:left="0" w:firstLine="0"/>
        <w:jc w:val="both"/>
        <w:rPr>
          <w:rFonts w:ascii="Arial" w:eastAsia="Arial" w:hAnsi="Arial" w:cs="Arial"/>
        </w:rPr>
      </w:pPr>
      <w:r>
        <w:rPr>
          <w:rFonts w:ascii="Arial" w:eastAsia="Arial" w:hAnsi="Arial" w:cs="Arial"/>
        </w:rPr>
        <w:t xml:space="preserve">As used in this application, the term “State of Charge (SOC)” refers to the ratio of available battery capacity to its rated capacity, expressed as a percentage. Within the scope of this invention, SOC is dynamically </w:t>
      </w:r>
      <w:r>
        <w:rPr>
          <w:rFonts w:ascii="Arial" w:eastAsia="Arial" w:hAnsi="Arial" w:cs="Arial"/>
        </w:rPr>
        <w:lastRenderedPageBreak/>
        <w:t>predicted for solar electric vehicle battery packs under variable traction, regenerative braking, and photovoltaic charging conditions.</w:t>
      </w:r>
    </w:p>
    <w:p w14:paraId="3CD82958" w14:textId="77777777" w:rsidR="001A4D81" w:rsidRDefault="00000000">
      <w:pPr>
        <w:numPr>
          <w:ilvl w:val="0"/>
          <w:numId w:val="1"/>
        </w:numPr>
        <w:pBdr>
          <w:top w:val="nil"/>
          <w:left w:val="nil"/>
          <w:bottom w:val="nil"/>
          <w:right w:val="nil"/>
          <w:between w:val="nil"/>
        </w:pBdr>
        <w:spacing w:after="200" w:line="480" w:lineRule="auto"/>
        <w:ind w:left="0" w:firstLine="0"/>
        <w:jc w:val="both"/>
        <w:rPr>
          <w:rFonts w:ascii="Arial" w:eastAsia="Arial" w:hAnsi="Arial" w:cs="Arial"/>
        </w:rPr>
      </w:pPr>
      <w:r>
        <w:rPr>
          <w:rFonts w:ascii="Arial" w:eastAsia="Arial" w:hAnsi="Arial" w:cs="Arial"/>
        </w:rPr>
        <w:t>The term “Quantum Neural Network (QNN)” refers to a machine learning model constructed using parameterized quantum circuits capable of representing nonlinear mappings between high-dimensional feature inputs and future SOC values. In this invention, QNN architectures are employed to overcome limitations of classical SOC estimation methods that struggle with nonlinearity and parameter drift.</w:t>
      </w:r>
    </w:p>
    <w:p w14:paraId="4BB6F4E0" w14:textId="77777777" w:rsidR="001A4D81" w:rsidRDefault="00000000">
      <w:pPr>
        <w:numPr>
          <w:ilvl w:val="0"/>
          <w:numId w:val="1"/>
        </w:numPr>
        <w:pBdr>
          <w:top w:val="nil"/>
          <w:left w:val="nil"/>
          <w:bottom w:val="nil"/>
          <w:right w:val="nil"/>
          <w:between w:val="nil"/>
        </w:pBdr>
        <w:spacing w:after="200" w:line="480" w:lineRule="auto"/>
        <w:ind w:left="0" w:firstLine="0"/>
        <w:jc w:val="both"/>
        <w:rPr>
          <w:rFonts w:ascii="Arial" w:eastAsia="Arial" w:hAnsi="Arial" w:cs="Arial"/>
        </w:rPr>
      </w:pPr>
      <w:r>
        <w:rPr>
          <w:rFonts w:ascii="Arial" w:eastAsia="Arial" w:hAnsi="Arial" w:cs="Arial"/>
        </w:rPr>
        <w:t>As used herein, the term “Hybrid Quantum–Classical Optimization” refers to a computational strategy wherein quantum circuits generate prediction outputs while a classical optimizer evaluates loss functions and updates quantum parameters iteratively to improve SOC forecasting accuracy.</w:t>
      </w:r>
    </w:p>
    <w:p w14:paraId="44DD2265" w14:textId="77777777" w:rsidR="001A4D81" w:rsidRDefault="00000000">
      <w:pPr>
        <w:numPr>
          <w:ilvl w:val="0"/>
          <w:numId w:val="1"/>
        </w:numPr>
        <w:pBdr>
          <w:top w:val="nil"/>
          <w:left w:val="nil"/>
          <w:bottom w:val="nil"/>
          <w:right w:val="nil"/>
          <w:between w:val="nil"/>
        </w:pBdr>
        <w:spacing w:after="200" w:line="480" w:lineRule="auto"/>
        <w:ind w:left="0" w:firstLine="0"/>
        <w:jc w:val="both"/>
        <w:rPr>
          <w:rFonts w:ascii="Arial" w:eastAsia="Arial" w:hAnsi="Arial" w:cs="Arial"/>
        </w:rPr>
      </w:pPr>
      <w:r>
        <w:rPr>
          <w:rFonts w:ascii="Arial" w:eastAsia="Arial" w:hAnsi="Arial" w:cs="Arial"/>
        </w:rPr>
        <w:t>The term “Quantum Data Encoding” refers to techniques used to convert classical input features—such as vehicle load, PV generation, temperature, and regenerative braking metrics—into quantum states suitable for processing by parameterized quantum circuits.</w:t>
      </w:r>
    </w:p>
    <w:p w14:paraId="727D618B" w14:textId="77777777" w:rsidR="001A4D81" w:rsidRDefault="00000000">
      <w:pPr>
        <w:numPr>
          <w:ilvl w:val="0"/>
          <w:numId w:val="1"/>
        </w:numPr>
        <w:pBdr>
          <w:top w:val="nil"/>
          <w:left w:val="nil"/>
          <w:bottom w:val="nil"/>
          <w:right w:val="nil"/>
          <w:between w:val="nil"/>
        </w:pBdr>
        <w:spacing w:after="200" w:line="480" w:lineRule="auto"/>
        <w:ind w:left="0" w:firstLine="0"/>
        <w:jc w:val="both"/>
        <w:rPr>
          <w:rFonts w:ascii="Arial" w:eastAsia="Arial" w:hAnsi="Arial" w:cs="Arial"/>
        </w:rPr>
      </w:pPr>
      <w:r>
        <w:rPr>
          <w:rFonts w:ascii="Arial" w:eastAsia="Arial" w:hAnsi="Arial" w:cs="Arial"/>
          <w:b/>
          <w:bCs/>
        </w:rPr>
        <w:t>FIG. 1</w:t>
      </w:r>
      <w:r>
        <w:rPr>
          <w:rFonts w:ascii="Arial" w:eastAsia="Arial" w:hAnsi="Arial" w:cs="Arial"/>
        </w:rPr>
        <w:t xml:space="preserve"> illustrates a block diagram representing the components of the quantum neural network–based SOC prediction system. The vehicle and PV data acquisition module </w:t>
      </w:r>
      <w:r>
        <w:rPr>
          <w:rFonts w:ascii="Arial" w:eastAsia="Arial" w:hAnsi="Arial" w:cs="Arial"/>
          <w:b/>
          <w:bCs/>
        </w:rPr>
        <w:t xml:space="preserve">101 </w:t>
      </w:r>
      <w:r>
        <w:rPr>
          <w:rFonts w:ascii="Arial" w:eastAsia="Arial" w:hAnsi="Arial" w:cs="Arial"/>
        </w:rPr>
        <w:t>collects real-time traction power, driving patterns, PV charging currents, temperature values, battery telemetry, and regenerative braking information.</w:t>
      </w:r>
    </w:p>
    <w:p w14:paraId="4F13FE11" w14:textId="77777777" w:rsidR="001A4D81" w:rsidRDefault="00000000">
      <w:pPr>
        <w:numPr>
          <w:ilvl w:val="0"/>
          <w:numId w:val="1"/>
        </w:numPr>
        <w:pBdr>
          <w:top w:val="nil"/>
          <w:left w:val="nil"/>
          <w:bottom w:val="nil"/>
          <w:right w:val="nil"/>
          <w:between w:val="nil"/>
        </w:pBdr>
        <w:spacing w:after="200" w:line="480" w:lineRule="auto"/>
        <w:ind w:left="0" w:firstLine="0"/>
        <w:jc w:val="both"/>
        <w:rPr>
          <w:rFonts w:ascii="Arial" w:eastAsia="Arial" w:hAnsi="Arial" w:cs="Arial"/>
        </w:rPr>
      </w:pPr>
      <w:r>
        <w:rPr>
          <w:rFonts w:ascii="Arial" w:eastAsia="Arial" w:hAnsi="Arial" w:cs="Arial"/>
        </w:rPr>
        <w:lastRenderedPageBreak/>
        <w:t xml:space="preserve">In some embodiments, the sensor preprocessing and feature normalization unit </w:t>
      </w:r>
      <w:r>
        <w:rPr>
          <w:rFonts w:ascii="Arial" w:eastAsia="Arial" w:hAnsi="Arial" w:cs="Arial"/>
          <w:b/>
          <w:bCs/>
        </w:rPr>
        <w:t>103</w:t>
      </w:r>
      <w:r>
        <w:rPr>
          <w:rFonts w:ascii="Arial" w:eastAsia="Arial" w:hAnsi="Arial" w:cs="Arial"/>
        </w:rPr>
        <w:t xml:space="preserve"> performs filtering, scaling, and alignment of heterogeneous inputs to prepare them for quantum encoding and improve prediction stability.</w:t>
      </w:r>
    </w:p>
    <w:p w14:paraId="4D06B3A8" w14:textId="77777777" w:rsidR="001A4D81" w:rsidRDefault="00000000">
      <w:pPr>
        <w:numPr>
          <w:ilvl w:val="0"/>
          <w:numId w:val="1"/>
        </w:numPr>
        <w:pBdr>
          <w:top w:val="nil"/>
          <w:left w:val="nil"/>
          <w:bottom w:val="nil"/>
          <w:right w:val="nil"/>
          <w:between w:val="nil"/>
        </w:pBdr>
        <w:spacing w:after="200" w:line="480" w:lineRule="auto"/>
        <w:ind w:left="0" w:firstLine="0"/>
        <w:jc w:val="both"/>
        <w:rPr>
          <w:rFonts w:ascii="Arial" w:eastAsia="Arial" w:hAnsi="Arial" w:cs="Arial"/>
        </w:rPr>
      </w:pPr>
      <w:r>
        <w:rPr>
          <w:rFonts w:ascii="Arial" w:eastAsia="Arial" w:hAnsi="Arial" w:cs="Arial"/>
        </w:rPr>
        <w:t xml:space="preserve">The quantum data encoding and state preparation module </w:t>
      </w:r>
      <w:r>
        <w:rPr>
          <w:rFonts w:ascii="Arial" w:eastAsia="Arial" w:hAnsi="Arial" w:cs="Arial"/>
          <w:b/>
          <w:bCs/>
        </w:rPr>
        <w:t xml:space="preserve">105 </w:t>
      </w:r>
      <w:r>
        <w:rPr>
          <w:rFonts w:ascii="Arial" w:eastAsia="Arial" w:hAnsi="Arial" w:cs="Arial"/>
        </w:rPr>
        <w:t>transforms classical feature vectors into quantum states using amplitude encoding, angle encoding, or hybrid quantum feature embeddings.</w:t>
      </w:r>
    </w:p>
    <w:p w14:paraId="152719F0" w14:textId="77777777" w:rsidR="001A4D81" w:rsidRDefault="00000000">
      <w:pPr>
        <w:numPr>
          <w:ilvl w:val="0"/>
          <w:numId w:val="1"/>
        </w:numPr>
        <w:pBdr>
          <w:top w:val="nil"/>
          <w:left w:val="nil"/>
          <w:bottom w:val="nil"/>
          <w:right w:val="nil"/>
          <w:between w:val="nil"/>
        </w:pBdr>
        <w:spacing w:after="200" w:line="480" w:lineRule="auto"/>
        <w:ind w:left="0" w:firstLine="0"/>
        <w:jc w:val="both"/>
        <w:rPr>
          <w:rFonts w:ascii="Arial" w:eastAsia="Arial" w:hAnsi="Arial" w:cs="Arial"/>
        </w:rPr>
      </w:pPr>
      <w:r>
        <w:rPr>
          <w:rFonts w:ascii="Arial" w:eastAsia="Arial" w:hAnsi="Arial" w:cs="Arial"/>
        </w:rPr>
        <w:t xml:space="preserve">The quantum neural network (QNN) circuit execution engine </w:t>
      </w:r>
      <w:r>
        <w:rPr>
          <w:rFonts w:ascii="Arial" w:eastAsia="Arial" w:hAnsi="Arial" w:cs="Arial"/>
          <w:b/>
          <w:bCs/>
        </w:rPr>
        <w:t xml:space="preserve">107 </w:t>
      </w:r>
      <w:r>
        <w:rPr>
          <w:rFonts w:ascii="Arial" w:eastAsia="Arial" w:hAnsi="Arial" w:cs="Arial"/>
        </w:rPr>
        <w:t>implements the parameterized quantum circuit responsible for processing encoded inputs and generating intermediate SOC prediction outputs.</w:t>
      </w:r>
    </w:p>
    <w:p w14:paraId="181AC0DD" w14:textId="77777777" w:rsidR="001A4D81" w:rsidRDefault="00000000">
      <w:pPr>
        <w:numPr>
          <w:ilvl w:val="0"/>
          <w:numId w:val="1"/>
        </w:numPr>
        <w:pBdr>
          <w:top w:val="nil"/>
          <w:left w:val="nil"/>
          <w:bottom w:val="nil"/>
          <w:right w:val="nil"/>
          <w:between w:val="nil"/>
        </w:pBdr>
        <w:spacing w:after="200" w:line="480" w:lineRule="auto"/>
        <w:ind w:left="0" w:firstLine="0"/>
        <w:jc w:val="both"/>
        <w:rPr>
          <w:rFonts w:ascii="Arial" w:eastAsia="Arial" w:hAnsi="Arial" w:cs="Arial"/>
        </w:rPr>
      </w:pPr>
      <w:r>
        <w:rPr>
          <w:rFonts w:ascii="Arial" w:eastAsia="Arial" w:hAnsi="Arial" w:cs="Arial"/>
        </w:rPr>
        <w:t xml:space="preserve">The hybrid quantum–classical optimization unit </w:t>
      </w:r>
      <w:r>
        <w:rPr>
          <w:rFonts w:ascii="Arial" w:eastAsia="Arial" w:hAnsi="Arial" w:cs="Arial"/>
          <w:b/>
          <w:bCs/>
        </w:rPr>
        <w:t>109</w:t>
      </w:r>
      <w:r>
        <w:rPr>
          <w:rFonts w:ascii="Arial" w:eastAsia="Arial" w:hAnsi="Arial" w:cs="Arial"/>
        </w:rPr>
        <w:t xml:space="preserve"> computes prediction error using classical loss functions and updates quantum circuit parameters through gradient-based or gradient-free optimization routines.</w:t>
      </w:r>
    </w:p>
    <w:p w14:paraId="5565AC5C" w14:textId="77777777" w:rsidR="001A4D81" w:rsidRDefault="00000000">
      <w:pPr>
        <w:numPr>
          <w:ilvl w:val="0"/>
          <w:numId w:val="1"/>
        </w:numPr>
        <w:pBdr>
          <w:top w:val="nil"/>
          <w:left w:val="nil"/>
          <w:bottom w:val="nil"/>
          <w:right w:val="nil"/>
          <w:between w:val="nil"/>
        </w:pBdr>
        <w:spacing w:after="200" w:line="480" w:lineRule="auto"/>
        <w:ind w:left="0" w:firstLine="0"/>
        <w:jc w:val="both"/>
        <w:rPr>
          <w:rFonts w:ascii="Arial" w:eastAsia="Arial" w:hAnsi="Arial" w:cs="Arial"/>
        </w:rPr>
      </w:pPr>
      <w:r>
        <w:rPr>
          <w:rFonts w:ascii="Arial" w:eastAsia="Arial" w:hAnsi="Arial" w:cs="Arial"/>
        </w:rPr>
        <w:t xml:space="preserve">The SOC prediction and short-horizon forecasting module </w:t>
      </w:r>
      <w:r>
        <w:rPr>
          <w:rFonts w:ascii="Arial" w:eastAsia="Arial" w:hAnsi="Arial" w:cs="Arial"/>
          <w:b/>
          <w:bCs/>
        </w:rPr>
        <w:t xml:space="preserve">111 </w:t>
      </w:r>
      <w:r>
        <w:rPr>
          <w:rFonts w:ascii="Arial" w:eastAsia="Arial" w:hAnsi="Arial" w:cs="Arial"/>
        </w:rPr>
        <w:t>generates SOC estimates over future time intervals to support real-time battery management decisions.</w:t>
      </w:r>
    </w:p>
    <w:p w14:paraId="3892299A" w14:textId="77777777" w:rsidR="001A4D81" w:rsidRDefault="00000000">
      <w:pPr>
        <w:numPr>
          <w:ilvl w:val="0"/>
          <w:numId w:val="1"/>
        </w:numPr>
        <w:pBdr>
          <w:top w:val="nil"/>
          <w:left w:val="nil"/>
          <w:bottom w:val="nil"/>
          <w:right w:val="nil"/>
          <w:between w:val="nil"/>
        </w:pBdr>
        <w:spacing w:after="200" w:line="480" w:lineRule="auto"/>
        <w:ind w:left="0" w:firstLine="0"/>
        <w:jc w:val="both"/>
        <w:rPr>
          <w:rFonts w:ascii="Arial" w:eastAsia="Arial" w:hAnsi="Arial" w:cs="Arial"/>
        </w:rPr>
      </w:pPr>
      <w:r>
        <w:rPr>
          <w:rFonts w:ascii="Arial" w:eastAsia="Arial" w:hAnsi="Arial" w:cs="Arial"/>
        </w:rPr>
        <w:t xml:space="preserve">The battery management system interface and real-time output module </w:t>
      </w:r>
      <w:r>
        <w:rPr>
          <w:rFonts w:ascii="Arial" w:eastAsia="Arial" w:hAnsi="Arial" w:cs="Arial"/>
          <w:b/>
          <w:bCs/>
        </w:rPr>
        <w:t xml:space="preserve">113 </w:t>
      </w:r>
      <w:r>
        <w:rPr>
          <w:rFonts w:ascii="Arial" w:eastAsia="Arial" w:hAnsi="Arial" w:cs="Arial"/>
        </w:rPr>
        <w:t>delivers SOC predictions to on-board energy controllers for range estimation, thermal control, and safety protections.</w:t>
      </w:r>
    </w:p>
    <w:p w14:paraId="5A52CD2A" w14:textId="77777777" w:rsidR="001A4D81" w:rsidRDefault="00000000">
      <w:pPr>
        <w:numPr>
          <w:ilvl w:val="0"/>
          <w:numId w:val="1"/>
        </w:numPr>
        <w:pBdr>
          <w:top w:val="nil"/>
          <w:left w:val="nil"/>
          <w:bottom w:val="nil"/>
          <w:right w:val="nil"/>
          <w:between w:val="nil"/>
        </w:pBdr>
        <w:spacing w:after="200" w:line="480" w:lineRule="auto"/>
        <w:ind w:left="0" w:firstLine="0"/>
        <w:jc w:val="both"/>
        <w:rPr>
          <w:rFonts w:ascii="Arial" w:eastAsia="Arial" w:hAnsi="Arial" w:cs="Arial"/>
        </w:rPr>
      </w:pPr>
      <w:r>
        <w:rPr>
          <w:rFonts w:ascii="Arial" w:eastAsia="Arial" w:hAnsi="Arial" w:cs="Arial"/>
          <w:b/>
          <w:bCs/>
        </w:rPr>
        <w:t>FIG. 2</w:t>
      </w:r>
      <w:r>
        <w:rPr>
          <w:rFonts w:ascii="Arial" w:eastAsia="Arial" w:hAnsi="Arial" w:cs="Arial"/>
        </w:rPr>
        <w:t xml:space="preserve"> illustrates a flowchart representing a method for SOC prediction using the quantum neural network–based architecture.</w:t>
      </w:r>
    </w:p>
    <w:p w14:paraId="3595A464" w14:textId="77777777" w:rsidR="001A4D81" w:rsidRDefault="00000000">
      <w:pPr>
        <w:numPr>
          <w:ilvl w:val="0"/>
          <w:numId w:val="1"/>
        </w:numPr>
        <w:pBdr>
          <w:top w:val="nil"/>
          <w:left w:val="nil"/>
          <w:bottom w:val="nil"/>
          <w:right w:val="nil"/>
          <w:between w:val="nil"/>
        </w:pBdr>
        <w:spacing w:after="200" w:line="480" w:lineRule="auto"/>
        <w:ind w:left="0" w:firstLine="0"/>
        <w:jc w:val="both"/>
        <w:rPr>
          <w:rFonts w:ascii="Arial" w:eastAsia="Arial" w:hAnsi="Arial" w:cs="Arial"/>
        </w:rPr>
      </w:pPr>
      <w:r>
        <w:rPr>
          <w:rFonts w:ascii="Arial" w:eastAsia="Arial" w:hAnsi="Arial" w:cs="Arial"/>
        </w:rPr>
        <w:lastRenderedPageBreak/>
        <w:t xml:space="preserve">At step </w:t>
      </w:r>
      <w:r>
        <w:rPr>
          <w:rFonts w:ascii="Arial" w:eastAsia="Arial" w:hAnsi="Arial" w:cs="Arial"/>
          <w:b/>
          <w:bCs/>
        </w:rPr>
        <w:t>201</w:t>
      </w:r>
      <w:r>
        <w:rPr>
          <w:rFonts w:ascii="Arial" w:eastAsia="Arial" w:hAnsi="Arial" w:cs="Arial"/>
        </w:rPr>
        <w:t xml:space="preserve">, the method includes collecting real-time vehicle, PV, and battery telemetry data through the data acquisition module </w:t>
      </w:r>
      <w:r>
        <w:rPr>
          <w:rFonts w:ascii="Arial" w:eastAsia="Arial" w:hAnsi="Arial" w:cs="Arial"/>
          <w:b/>
          <w:bCs/>
        </w:rPr>
        <w:t>101.</w:t>
      </w:r>
    </w:p>
    <w:p w14:paraId="48D06BE4" w14:textId="77777777" w:rsidR="001A4D81" w:rsidRDefault="00000000">
      <w:pPr>
        <w:numPr>
          <w:ilvl w:val="0"/>
          <w:numId w:val="1"/>
        </w:numPr>
        <w:pBdr>
          <w:top w:val="nil"/>
          <w:left w:val="nil"/>
          <w:bottom w:val="nil"/>
          <w:right w:val="nil"/>
          <w:between w:val="nil"/>
        </w:pBdr>
        <w:spacing w:after="200" w:line="480" w:lineRule="auto"/>
        <w:ind w:left="0" w:firstLine="0"/>
        <w:jc w:val="both"/>
        <w:rPr>
          <w:rFonts w:ascii="Arial" w:eastAsia="Arial" w:hAnsi="Arial" w:cs="Arial"/>
        </w:rPr>
      </w:pPr>
      <w:r>
        <w:rPr>
          <w:rFonts w:ascii="Arial" w:eastAsia="Arial" w:hAnsi="Arial" w:cs="Arial"/>
        </w:rPr>
        <w:t xml:space="preserve">At step </w:t>
      </w:r>
      <w:r>
        <w:rPr>
          <w:rFonts w:ascii="Arial" w:eastAsia="Arial" w:hAnsi="Arial" w:cs="Arial"/>
          <w:b/>
          <w:bCs/>
        </w:rPr>
        <w:t>203</w:t>
      </w:r>
      <w:r>
        <w:rPr>
          <w:rFonts w:ascii="Arial" w:eastAsia="Arial" w:hAnsi="Arial" w:cs="Arial"/>
        </w:rPr>
        <w:t xml:space="preserve">, the method includes preprocessing, normalizing, and filtering the input features using the sensor preprocessing and feature normalization unit </w:t>
      </w:r>
      <w:r>
        <w:rPr>
          <w:rFonts w:ascii="Arial" w:eastAsia="Arial" w:hAnsi="Arial" w:cs="Arial"/>
          <w:b/>
          <w:bCs/>
        </w:rPr>
        <w:t>103.</w:t>
      </w:r>
    </w:p>
    <w:p w14:paraId="7EC7E251" w14:textId="77777777" w:rsidR="001A4D81" w:rsidRDefault="00000000">
      <w:pPr>
        <w:numPr>
          <w:ilvl w:val="0"/>
          <w:numId w:val="1"/>
        </w:numPr>
        <w:pBdr>
          <w:top w:val="nil"/>
          <w:left w:val="nil"/>
          <w:bottom w:val="nil"/>
          <w:right w:val="nil"/>
          <w:between w:val="nil"/>
        </w:pBdr>
        <w:spacing w:after="200" w:line="480" w:lineRule="auto"/>
        <w:ind w:left="0" w:firstLine="0"/>
        <w:jc w:val="both"/>
        <w:rPr>
          <w:rFonts w:ascii="Arial" w:eastAsia="Arial" w:hAnsi="Arial" w:cs="Arial"/>
        </w:rPr>
      </w:pPr>
      <w:r>
        <w:rPr>
          <w:rFonts w:ascii="Arial" w:eastAsia="Arial" w:hAnsi="Arial" w:cs="Arial"/>
        </w:rPr>
        <w:t xml:space="preserve">At step </w:t>
      </w:r>
      <w:r>
        <w:rPr>
          <w:rFonts w:ascii="Arial" w:eastAsia="Arial" w:hAnsi="Arial" w:cs="Arial"/>
          <w:b/>
          <w:bCs/>
        </w:rPr>
        <w:t>205</w:t>
      </w:r>
      <w:r>
        <w:rPr>
          <w:rFonts w:ascii="Arial" w:eastAsia="Arial" w:hAnsi="Arial" w:cs="Arial"/>
        </w:rPr>
        <w:t xml:space="preserve">, the method includes encoding classical features into quantum states using the quantum data encoding and state preparation module </w:t>
      </w:r>
      <w:r>
        <w:rPr>
          <w:rFonts w:ascii="Arial" w:eastAsia="Arial" w:hAnsi="Arial" w:cs="Arial"/>
          <w:b/>
          <w:bCs/>
        </w:rPr>
        <w:t>105</w:t>
      </w:r>
      <w:r>
        <w:rPr>
          <w:rFonts w:ascii="Arial" w:eastAsia="Arial" w:hAnsi="Arial" w:cs="Arial"/>
        </w:rPr>
        <w:t>.</w:t>
      </w:r>
    </w:p>
    <w:p w14:paraId="55422B1F" w14:textId="77777777" w:rsidR="001A4D81" w:rsidRDefault="00000000">
      <w:pPr>
        <w:numPr>
          <w:ilvl w:val="0"/>
          <w:numId w:val="1"/>
        </w:numPr>
        <w:pBdr>
          <w:top w:val="nil"/>
          <w:left w:val="nil"/>
          <w:bottom w:val="nil"/>
          <w:right w:val="nil"/>
          <w:between w:val="nil"/>
        </w:pBdr>
        <w:spacing w:after="200" w:line="480" w:lineRule="auto"/>
        <w:ind w:left="0" w:firstLine="0"/>
        <w:jc w:val="both"/>
        <w:rPr>
          <w:rFonts w:ascii="Arial" w:eastAsia="Arial" w:hAnsi="Arial" w:cs="Arial"/>
        </w:rPr>
      </w:pPr>
      <w:r>
        <w:rPr>
          <w:rFonts w:ascii="Arial" w:eastAsia="Arial" w:hAnsi="Arial" w:cs="Arial"/>
        </w:rPr>
        <w:t xml:space="preserve">At step </w:t>
      </w:r>
      <w:r>
        <w:rPr>
          <w:rFonts w:ascii="Arial" w:eastAsia="Arial" w:hAnsi="Arial" w:cs="Arial"/>
          <w:b/>
          <w:bCs/>
        </w:rPr>
        <w:t>207,</w:t>
      </w:r>
      <w:r>
        <w:rPr>
          <w:rFonts w:ascii="Arial" w:eastAsia="Arial" w:hAnsi="Arial" w:cs="Arial"/>
        </w:rPr>
        <w:t xml:space="preserve"> the method includes executing the parameterized quantum circuit within the quantum neural network circuit execution engine </w:t>
      </w:r>
      <w:r>
        <w:rPr>
          <w:rFonts w:ascii="Arial" w:eastAsia="Arial" w:hAnsi="Arial" w:cs="Arial"/>
          <w:b/>
          <w:bCs/>
        </w:rPr>
        <w:t xml:space="preserve">107 </w:t>
      </w:r>
      <w:r>
        <w:rPr>
          <w:rFonts w:ascii="Arial" w:eastAsia="Arial" w:hAnsi="Arial" w:cs="Arial"/>
        </w:rPr>
        <w:t>to generate intermediate SOC predictions.</w:t>
      </w:r>
    </w:p>
    <w:p w14:paraId="667D1B1A" w14:textId="77777777" w:rsidR="001A4D81" w:rsidRDefault="00000000">
      <w:pPr>
        <w:numPr>
          <w:ilvl w:val="0"/>
          <w:numId w:val="1"/>
        </w:numPr>
        <w:pBdr>
          <w:top w:val="nil"/>
          <w:left w:val="nil"/>
          <w:bottom w:val="nil"/>
          <w:right w:val="nil"/>
          <w:between w:val="nil"/>
        </w:pBdr>
        <w:spacing w:after="200" w:line="480" w:lineRule="auto"/>
        <w:ind w:left="0" w:firstLine="0"/>
        <w:jc w:val="both"/>
        <w:rPr>
          <w:rFonts w:ascii="Arial" w:eastAsia="Arial" w:hAnsi="Arial" w:cs="Arial"/>
        </w:rPr>
      </w:pPr>
      <w:r>
        <w:rPr>
          <w:rFonts w:ascii="Arial" w:eastAsia="Arial" w:hAnsi="Arial" w:cs="Arial"/>
        </w:rPr>
        <w:t xml:space="preserve">At step </w:t>
      </w:r>
      <w:r>
        <w:rPr>
          <w:rFonts w:ascii="Arial" w:eastAsia="Arial" w:hAnsi="Arial" w:cs="Arial"/>
          <w:b/>
          <w:bCs/>
        </w:rPr>
        <w:t>209</w:t>
      </w:r>
      <w:r>
        <w:rPr>
          <w:rFonts w:ascii="Arial" w:eastAsia="Arial" w:hAnsi="Arial" w:cs="Arial"/>
        </w:rPr>
        <w:t xml:space="preserve">, the method includes computing prediction error and updating circuit parameters through the hybrid quantum–classical optimization unit </w:t>
      </w:r>
      <w:r>
        <w:rPr>
          <w:rFonts w:ascii="Arial" w:eastAsia="Arial" w:hAnsi="Arial" w:cs="Arial"/>
          <w:b/>
          <w:bCs/>
        </w:rPr>
        <w:t>109</w:t>
      </w:r>
      <w:r>
        <w:rPr>
          <w:rFonts w:ascii="Arial" w:eastAsia="Arial" w:hAnsi="Arial" w:cs="Arial"/>
        </w:rPr>
        <w:t>.</w:t>
      </w:r>
    </w:p>
    <w:p w14:paraId="6885A24A" w14:textId="77777777" w:rsidR="001A4D81" w:rsidRDefault="00000000">
      <w:pPr>
        <w:numPr>
          <w:ilvl w:val="0"/>
          <w:numId w:val="1"/>
        </w:numPr>
        <w:pBdr>
          <w:top w:val="nil"/>
          <w:left w:val="nil"/>
          <w:bottom w:val="nil"/>
          <w:right w:val="nil"/>
          <w:between w:val="nil"/>
        </w:pBdr>
        <w:spacing w:after="200" w:line="480" w:lineRule="auto"/>
        <w:ind w:left="0" w:firstLine="0"/>
        <w:jc w:val="both"/>
        <w:rPr>
          <w:rFonts w:ascii="Arial" w:eastAsia="Arial" w:hAnsi="Arial" w:cs="Arial"/>
        </w:rPr>
      </w:pPr>
      <w:r>
        <w:rPr>
          <w:rFonts w:ascii="Arial" w:eastAsia="Arial" w:hAnsi="Arial" w:cs="Arial"/>
        </w:rPr>
        <w:t xml:space="preserve">At step </w:t>
      </w:r>
      <w:r>
        <w:rPr>
          <w:rFonts w:ascii="Arial" w:eastAsia="Arial" w:hAnsi="Arial" w:cs="Arial"/>
          <w:b/>
          <w:bCs/>
        </w:rPr>
        <w:t>211,</w:t>
      </w:r>
      <w:r>
        <w:rPr>
          <w:rFonts w:ascii="Arial" w:eastAsia="Arial" w:hAnsi="Arial" w:cs="Arial"/>
        </w:rPr>
        <w:t xml:space="preserve"> the method includes generating short-horizon SOC predictions using the SOC prediction and forecasting module </w:t>
      </w:r>
      <w:r>
        <w:rPr>
          <w:rFonts w:ascii="Arial" w:eastAsia="Arial" w:hAnsi="Arial" w:cs="Arial"/>
          <w:b/>
          <w:bCs/>
        </w:rPr>
        <w:t>111.</w:t>
      </w:r>
    </w:p>
    <w:p w14:paraId="69AFD5A9" w14:textId="77777777" w:rsidR="001A4D81" w:rsidRDefault="00000000">
      <w:pPr>
        <w:numPr>
          <w:ilvl w:val="0"/>
          <w:numId w:val="1"/>
        </w:numPr>
        <w:pBdr>
          <w:top w:val="nil"/>
          <w:left w:val="nil"/>
          <w:bottom w:val="nil"/>
          <w:right w:val="nil"/>
          <w:between w:val="nil"/>
        </w:pBdr>
        <w:spacing w:after="200" w:line="480" w:lineRule="auto"/>
        <w:ind w:left="0" w:firstLine="0"/>
        <w:jc w:val="both"/>
        <w:rPr>
          <w:rFonts w:ascii="Arial" w:eastAsia="Arial" w:hAnsi="Arial" w:cs="Arial"/>
        </w:rPr>
      </w:pPr>
      <w:r>
        <w:rPr>
          <w:rFonts w:ascii="Arial" w:eastAsia="Arial" w:hAnsi="Arial" w:cs="Arial"/>
        </w:rPr>
        <w:t xml:space="preserve">At step </w:t>
      </w:r>
      <w:r>
        <w:rPr>
          <w:rFonts w:ascii="Arial" w:eastAsia="Arial" w:hAnsi="Arial" w:cs="Arial"/>
          <w:b/>
          <w:bCs/>
        </w:rPr>
        <w:t>213</w:t>
      </w:r>
      <w:r>
        <w:rPr>
          <w:rFonts w:ascii="Arial" w:eastAsia="Arial" w:hAnsi="Arial" w:cs="Arial"/>
        </w:rPr>
        <w:t xml:space="preserve">, the method includes transmitting SOC predictions to the vehicle’s battery management system through the real-time output module </w:t>
      </w:r>
      <w:r>
        <w:rPr>
          <w:rFonts w:ascii="Arial" w:eastAsia="Arial" w:hAnsi="Arial" w:cs="Arial"/>
          <w:b/>
          <w:bCs/>
        </w:rPr>
        <w:t>113</w:t>
      </w:r>
      <w:r>
        <w:rPr>
          <w:rFonts w:ascii="Arial" w:eastAsia="Arial" w:hAnsi="Arial" w:cs="Arial"/>
        </w:rPr>
        <w:t xml:space="preserve"> for energy management and battery protection functions.</w:t>
      </w:r>
    </w:p>
    <w:p w14:paraId="19A49A00" w14:textId="77777777" w:rsidR="001A4D81" w:rsidRDefault="00000000">
      <w:pPr>
        <w:numPr>
          <w:ilvl w:val="0"/>
          <w:numId w:val="1"/>
        </w:numPr>
        <w:pBdr>
          <w:top w:val="nil"/>
          <w:left w:val="nil"/>
          <w:bottom w:val="nil"/>
          <w:right w:val="nil"/>
          <w:between w:val="nil"/>
        </w:pBdr>
        <w:spacing w:after="200" w:line="480" w:lineRule="auto"/>
        <w:ind w:left="0" w:firstLine="0"/>
        <w:jc w:val="both"/>
        <w:rPr>
          <w:rFonts w:ascii="Arial" w:eastAsia="Arial" w:hAnsi="Arial" w:cs="Arial"/>
        </w:rPr>
      </w:pPr>
      <w:r>
        <w:rPr>
          <w:rFonts w:ascii="Arial" w:eastAsia="Arial" w:hAnsi="Arial" w:cs="Arial"/>
        </w:rPr>
        <w:t xml:space="preserve">The many features and advantages of the invention are apparent from the detailed specification, and thus, it is intended by the claims to cover all such features and advantages of the invention which fall within the true </w:t>
      </w:r>
      <w:r>
        <w:rPr>
          <w:rFonts w:ascii="Arial" w:eastAsia="Arial" w:hAnsi="Arial" w:cs="Arial"/>
        </w:rPr>
        <w:lastRenderedPageBreak/>
        <w:t>spirit and scope of the invention. Further, since numerous modifications and variations will readily occur to those skilled in the art, it is not desired to limit the invention to the exact construction and operation illustrated and described, and accordingly, all suitable modifications and equivalents may be resorted to, falling within the scope of the invention.</w:t>
      </w:r>
    </w:p>
    <w:p w14:paraId="5AB4B12A" w14:textId="77777777" w:rsidR="001A4D81" w:rsidRDefault="00000000">
      <w:pPr>
        <w:numPr>
          <w:ilvl w:val="0"/>
          <w:numId w:val="1"/>
        </w:numPr>
        <w:pBdr>
          <w:top w:val="nil"/>
          <w:left w:val="nil"/>
          <w:bottom w:val="nil"/>
          <w:right w:val="nil"/>
          <w:between w:val="nil"/>
        </w:pBdr>
        <w:spacing w:after="200" w:line="480" w:lineRule="auto"/>
        <w:ind w:left="0" w:firstLine="0"/>
        <w:jc w:val="both"/>
        <w:rPr>
          <w:rFonts w:ascii="Arial" w:eastAsia="Arial" w:hAnsi="Arial" w:cs="Arial"/>
        </w:rPr>
      </w:pPr>
      <w:r>
        <w:rPr>
          <w:rFonts w:ascii="Arial" w:eastAsia="Arial" w:hAnsi="Arial" w:cs="Arial"/>
        </w:rPr>
        <w:t>Advantages of the quantum neural network–based SOC prediction system described herein include the ability to model nonlinear battery behavior more effectively than traditional estimation methods, improving SOC accuracy under dynamic traction, regenerative braking, and PV-generation conditions. The hybrid quantum–classical framework enhances computational expressiveness while remaining compatible with near-term quantum hardware. The invention reduces parameter drift, mitigates cumulative numerical errors, and enables more reliable forecast-based energy management. Additionally, real-time SOC predictions produced by the invention support improved range estimation, battery protection, and optimization of solar electric vehicle performance. These and other advantages will be evident from the embodiments described in this specification.</w:t>
      </w:r>
    </w:p>
    <w:p w14:paraId="60FD76D1" w14:textId="77777777" w:rsidR="001A4D81" w:rsidRDefault="00000000">
      <w:pPr>
        <w:pBdr>
          <w:top w:val="nil"/>
          <w:left w:val="nil"/>
          <w:bottom w:val="nil"/>
          <w:right w:val="nil"/>
          <w:between w:val="nil"/>
        </w:pBdr>
        <w:spacing w:after="200" w:line="480" w:lineRule="auto"/>
        <w:jc w:val="both"/>
        <w:rPr>
          <w:rFonts w:ascii="Arial" w:eastAsia="Arial" w:hAnsi="Arial" w:cs="Arial"/>
          <w:color w:val="000000"/>
        </w:rPr>
      </w:pPr>
      <w:r>
        <w:rPr>
          <w:rFonts w:ascii="Arial" w:eastAsia="Arial" w:hAnsi="Arial" w:cs="Arial"/>
          <w:b/>
          <w:bCs/>
        </w:rPr>
        <w:t>Dated this on 12th of December, 2025</w:t>
      </w:r>
    </w:p>
    <w:p w14:paraId="76C4129A" w14:textId="77777777" w:rsidR="001A4D81" w:rsidRDefault="001A4D81">
      <w:pPr>
        <w:jc w:val="center"/>
        <w:rPr>
          <w:b/>
          <w:bCs/>
        </w:rPr>
      </w:pPr>
    </w:p>
    <w:p w14:paraId="5B0AA69D" w14:textId="77777777" w:rsidR="001A4D81" w:rsidRDefault="001A4D81">
      <w:pPr>
        <w:jc w:val="center"/>
        <w:rPr>
          <w:b/>
          <w:bCs/>
        </w:rPr>
      </w:pPr>
    </w:p>
    <w:p w14:paraId="42A6BADD" w14:textId="77777777" w:rsidR="001A4D81" w:rsidRDefault="001A4D81">
      <w:pPr>
        <w:jc w:val="center"/>
        <w:rPr>
          <w:b/>
          <w:bCs/>
        </w:rPr>
      </w:pPr>
    </w:p>
    <w:p w14:paraId="115B845C" w14:textId="77777777" w:rsidR="001A4D81" w:rsidRDefault="001A4D81">
      <w:pPr>
        <w:jc w:val="center"/>
        <w:rPr>
          <w:b/>
          <w:bCs/>
        </w:rPr>
      </w:pPr>
    </w:p>
    <w:p w14:paraId="7EF16940" w14:textId="77777777" w:rsidR="001A4D81" w:rsidRDefault="001A4D81">
      <w:pPr>
        <w:jc w:val="center"/>
        <w:rPr>
          <w:b/>
          <w:bCs/>
        </w:rPr>
      </w:pPr>
    </w:p>
    <w:p w14:paraId="0E5FC66C" w14:textId="77777777" w:rsidR="001A4D81" w:rsidRDefault="001A4D81">
      <w:pPr>
        <w:jc w:val="center"/>
        <w:rPr>
          <w:b/>
          <w:bCs/>
        </w:rPr>
      </w:pPr>
    </w:p>
    <w:p w14:paraId="0B4BCE9E" w14:textId="77777777" w:rsidR="001A4D81" w:rsidRDefault="001A4D81">
      <w:pPr>
        <w:jc w:val="center"/>
        <w:rPr>
          <w:b/>
          <w:bCs/>
        </w:rPr>
      </w:pPr>
    </w:p>
    <w:p w14:paraId="76422B68" w14:textId="77777777" w:rsidR="001A4D81" w:rsidRDefault="001A4D81">
      <w:pPr>
        <w:jc w:val="center"/>
        <w:rPr>
          <w:b/>
          <w:bCs/>
        </w:rPr>
      </w:pPr>
    </w:p>
    <w:p w14:paraId="638834D5" w14:textId="77777777" w:rsidR="001A4D81" w:rsidRDefault="00000000">
      <w:pPr>
        <w:pBdr>
          <w:top w:val="nil"/>
          <w:left w:val="nil"/>
          <w:bottom w:val="nil"/>
          <w:right w:val="nil"/>
          <w:between w:val="nil"/>
        </w:pBdr>
        <w:spacing w:after="120" w:line="360" w:lineRule="auto"/>
        <w:ind w:right="-258"/>
        <w:jc w:val="center"/>
        <w:rPr>
          <w:rFonts w:ascii="Arial" w:eastAsia="Arial" w:hAnsi="Arial" w:cs="Arial"/>
          <w:b/>
          <w:bCs/>
          <w:color w:val="000000"/>
        </w:rPr>
      </w:pPr>
      <w:r>
        <w:rPr>
          <w:rFonts w:ascii="Arial" w:eastAsia="Arial" w:hAnsi="Arial" w:cs="Arial"/>
          <w:b/>
          <w:bCs/>
          <w:color w:val="000000"/>
        </w:rPr>
        <w:lastRenderedPageBreak/>
        <w:t>ABSTRACT</w:t>
      </w:r>
    </w:p>
    <w:p w14:paraId="7B5FB98D" w14:textId="77777777" w:rsidR="001A4D81" w:rsidRDefault="00000000">
      <w:pPr>
        <w:pBdr>
          <w:top w:val="nil"/>
          <w:left w:val="nil"/>
          <w:bottom w:val="nil"/>
          <w:right w:val="nil"/>
          <w:between w:val="nil"/>
        </w:pBdr>
        <w:spacing w:after="120" w:line="360" w:lineRule="auto"/>
        <w:ind w:right="-258"/>
        <w:jc w:val="center"/>
        <w:rPr>
          <w:rFonts w:ascii="Arial" w:eastAsia="Arial" w:hAnsi="Arial" w:cs="Arial"/>
          <w:b/>
          <w:bCs/>
        </w:rPr>
      </w:pPr>
      <w:r>
        <w:rPr>
          <w:rFonts w:ascii="Arial" w:eastAsia="Arial" w:hAnsi="Arial" w:cs="Arial"/>
          <w:b/>
          <w:bCs/>
        </w:rPr>
        <w:t>A SYSTEM AND A METHOD FOR SOC PREDICTION IN SOLAR EV BATTERIES USING QUANTUM NEURAL NETWORKS</w:t>
      </w:r>
    </w:p>
    <w:p w14:paraId="225E3ED3" w14:textId="77777777" w:rsidR="001A4D81" w:rsidRDefault="00000000">
      <w:pPr>
        <w:pBdr>
          <w:top w:val="nil"/>
          <w:left w:val="nil"/>
          <w:bottom w:val="nil"/>
          <w:right w:val="nil"/>
          <w:between w:val="nil"/>
        </w:pBdr>
        <w:spacing w:after="200" w:line="480" w:lineRule="auto"/>
        <w:jc w:val="both"/>
        <w:rPr>
          <w:rFonts w:ascii="Arial" w:eastAsia="Arial" w:hAnsi="Arial" w:cs="Arial"/>
        </w:rPr>
      </w:pPr>
      <w:r>
        <w:rPr>
          <w:rFonts w:ascii="Arial" w:eastAsia="Arial" w:hAnsi="Arial" w:cs="Arial"/>
        </w:rPr>
        <w:t>The invention discloses a system and method for predicting the state of charge (SOC) of solar electric vehicle battery packs using a quantum neural network–based learning framework. The system includes a data acquisition module that collects vehicle load, photovoltaic generation, regenerative braking behavior, temperature, and battery telemetry. A preprocessing unit normalizes inputs, while a quantum data encoding module converts classical features into quantum states. A parameterized quantum circuit within the quantum neural network processes the encoded inputs, and a hybrid quantum–classical optimization engine updates circuit parameters to minimize prediction error. A short-horizon SOC prediction module generates real-time estimates for integration with the vehicle’s battery management system. The invention enhances SOC accuracy under nonlinear and dynamic conditions and improves robustness compared to classical estimation methods.</w:t>
      </w:r>
    </w:p>
    <w:p w14:paraId="149CEE03" w14:textId="77777777" w:rsidR="001A4D81" w:rsidRDefault="00000000">
      <w:pPr>
        <w:pBdr>
          <w:top w:val="nil"/>
          <w:left w:val="nil"/>
          <w:bottom w:val="nil"/>
          <w:right w:val="nil"/>
          <w:between w:val="nil"/>
        </w:pBdr>
        <w:spacing w:after="200" w:line="480" w:lineRule="auto"/>
        <w:jc w:val="both"/>
        <w:rPr>
          <w:rFonts w:ascii="Arial" w:eastAsia="Arial" w:hAnsi="Arial" w:cs="Arial"/>
        </w:rPr>
      </w:pPr>
      <w:r>
        <w:rPr>
          <w:rFonts w:ascii="Arial" w:eastAsia="Arial" w:hAnsi="Arial" w:cs="Arial"/>
        </w:rPr>
        <w:t>(</w:t>
      </w:r>
      <w:r>
        <w:rPr>
          <w:rFonts w:ascii="Arial" w:eastAsia="Arial" w:hAnsi="Arial" w:cs="Arial"/>
          <w:b/>
          <w:bCs/>
        </w:rPr>
        <w:t>FIG. 2</w:t>
      </w:r>
      <w:r>
        <w:rPr>
          <w:rFonts w:ascii="Arial" w:eastAsia="Arial" w:hAnsi="Arial" w:cs="Arial"/>
        </w:rPr>
        <w:t>)</w:t>
      </w:r>
    </w:p>
    <w:p w14:paraId="636395E5" w14:textId="77777777" w:rsidR="001A4D81" w:rsidRPr="00D71D95" w:rsidRDefault="00000000" w:rsidP="00D71D95">
      <w:pPr>
        <w:pBdr>
          <w:top w:val="nil"/>
          <w:left w:val="nil"/>
          <w:bottom w:val="nil"/>
          <w:right w:val="nil"/>
          <w:between w:val="nil"/>
        </w:pBdr>
        <w:spacing w:after="200" w:line="480" w:lineRule="auto"/>
        <w:jc w:val="both"/>
        <w:rPr>
          <w:rFonts w:ascii="Arial" w:eastAsia="Arial" w:hAnsi="Arial" w:cs="Arial"/>
          <w:b/>
          <w:bCs/>
          <w:color w:val="000000"/>
        </w:rPr>
      </w:pPr>
      <w:r w:rsidRPr="00D71D95">
        <w:rPr>
          <w:rFonts w:ascii="Arial" w:eastAsia="Arial" w:hAnsi="Arial" w:cs="Arial"/>
          <w:b/>
          <w:bCs/>
          <w:color w:val="000000"/>
        </w:rPr>
        <w:t xml:space="preserve">Dated </w:t>
      </w:r>
      <w:r w:rsidRPr="00D71D95">
        <w:rPr>
          <w:rFonts w:ascii="Arial" w:eastAsia="Arial" w:hAnsi="Arial" w:cs="Arial"/>
          <w:b/>
          <w:bCs/>
        </w:rPr>
        <w:t>this on 12th of December</w:t>
      </w:r>
      <w:r w:rsidRPr="00D71D95">
        <w:rPr>
          <w:rFonts w:ascii="Arial" w:eastAsia="Arial" w:hAnsi="Arial" w:cs="Arial"/>
          <w:b/>
          <w:bCs/>
          <w:color w:val="000000"/>
        </w:rPr>
        <w:t>, 2025</w:t>
      </w:r>
    </w:p>
    <w:p w14:paraId="7E7A63DB" w14:textId="77777777" w:rsidR="001A4D81" w:rsidRDefault="001A4D81">
      <w:pPr>
        <w:spacing w:after="120" w:line="480" w:lineRule="auto"/>
        <w:ind w:right="-258"/>
        <w:jc w:val="both"/>
        <w:rPr>
          <w:rFonts w:ascii="Arial" w:eastAsia="Arial" w:hAnsi="Arial" w:cs="Arial"/>
          <w:b/>
          <w:bCs/>
        </w:rPr>
      </w:pPr>
    </w:p>
    <w:sectPr w:rsidR="001A4D81" w:rsidSect="00B10B95">
      <w:footerReference w:type="default" r:id="rId8"/>
      <w:headerReference w:type="first" r:id="rId9"/>
      <w:footerReference w:type="first" r:id="rId10"/>
      <w:pgSz w:w="11906" w:h="16838"/>
      <w:pgMar w:top="1699" w:right="1699" w:bottom="1699" w:left="2275" w:header="0" w:footer="576" w:gutter="0"/>
      <w:lnNumType w:countBy="5"/>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CE68F" w14:textId="77777777" w:rsidR="00CF5161" w:rsidRDefault="00CF5161">
      <w:r>
        <w:separator/>
      </w:r>
    </w:p>
  </w:endnote>
  <w:endnote w:type="continuationSeparator" w:id="0">
    <w:p w14:paraId="0C3E0B33" w14:textId="77777777" w:rsidR="00CF5161" w:rsidRDefault="00CF51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ABFB03E0-69B5-41FD-B20A-29CABB52874E}"/>
  </w:font>
  <w:font w:name="Calibri">
    <w:panose1 w:val="020F0502020204030204"/>
    <w:charset w:val="00"/>
    <w:family w:val="swiss"/>
    <w:pitch w:val="variable"/>
    <w:sig w:usb0="E4002EFF" w:usb1="C200247B" w:usb2="00000009" w:usb3="00000000" w:csb0="000001FF" w:csb1="00000000"/>
    <w:embedRegular r:id="rId2" w:fontKey="{7E738FD8-E5EF-4D98-8A85-2A5FD50017E6}"/>
    <w:embedBold r:id="rId3" w:fontKey="{DD16EAE1-2FEF-48DC-9688-3251C5CEFFC8}"/>
  </w:font>
  <w:font w:name="Segoe UI">
    <w:panose1 w:val="020B0502040204020203"/>
    <w:charset w:val="00"/>
    <w:family w:val="swiss"/>
    <w:pitch w:val="variable"/>
    <w:sig w:usb0="E4002EFF" w:usb1="C000E47F" w:usb2="00000009" w:usb3="00000000" w:csb0="000001FF" w:csb1="00000000"/>
    <w:embedRegular r:id="rId4" w:fontKey="{7656BB2B-188A-449B-B80E-DB914FAABA77}"/>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1F1DBB5E-AE48-4DC9-B8C0-2CF57D4B51E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B4D92" w14:textId="77777777" w:rsidR="001A4D81" w:rsidRDefault="00000000">
    <w:pPr>
      <w:pBdr>
        <w:top w:val="nil"/>
        <w:left w:val="nil"/>
        <w:bottom w:val="nil"/>
        <w:right w:val="nil"/>
        <w:between w:val="nil"/>
      </w:pBdr>
      <w:tabs>
        <w:tab w:val="center" w:pos="4513"/>
        <w:tab w:val="right" w:pos="9026"/>
      </w:tabs>
      <w:jc w:val="center"/>
      <w:rPr>
        <w:color w:val="000000"/>
      </w:rPr>
    </w:pPr>
    <w:r>
      <w:fldChar w:fldCharType="begin"/>
    </w:r>
    <w:r>
      <w:instrText>PAGE</w:instrText>
    </w:r>
    <w:r>
      <w:fldChar w:fldCharType="separate"/>
    </w:r>
    <w:r w:rsidR="00B10B95">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1F0AA" w14:textId="77777777" w:rsidR="001A4D81" w:rsidRDefault="00000000">
    <w:pPr>
      <w:jc w:val="center"/>
    </w:pPr>
    <w:r>
      <w:fldChar w:fldCharType="begin"/>
    </w:r>
    <w:r>
      <w:instrText>PAGE</w:instrText>
    </w:r>
    <w:r>
      <w:fldChar w:fldCharType="separate"/>
    </w:r>
    <w:r w:rsidR="00B10B9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86A7A" w14:textId="77777777" w:rsidR="00CF5161" w:rsidRDefault="00CF5161">
      <w:r>
        <w:separator/>
      </w:r>
    </w:p>
  </w:footnote>
  <w:footnote w:type="continuationSeparator" w:id="0">
    <w:p w14:paraId="249E95F3" w14:textId="77777777" w:rsidR="00CF5161" w:rsidRDefault="00CF51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D5371" w14:textId="77777777" w:rsidR="001A4D81" w:rsidRDefault="001A4D81">
    <w:pPr>
      <w:pBdr>
        <w:top w:val="nil"/>
        <w:left w:val="nil"/>
        <w:bottom w:val="nil"/>
        <w:right w:val="nil"/>
        <w:between w:val="nil"/>
      </w:pBdr>
      <w:tabs>
        <w:tab w:val="center" w:pos="4513"/>
        <w:tab w:val="right" w:pos="9026"/>
      </w:tabs>
      <w:rPr>
        <w:color w:val="000000"/>
      </w:rPr>
    </w:pPr>
  </w:p>
  <w:p w14:paraId="7EA701CB" w14:textId="77777777" w:rsidR="001A4D81" w:rsidRDefault="001A4D81">
    <w:pPr>
      <w:pBdr>
        <w:top w:val="nil"/>
        <w:left w:val="nil"/>
        <w:bottom w:val="nil"/>
        <w:right w:val="nil"/>
        <w:between w:val="nil"/>
      </w:pBdr>
      <w:tabs>
        <w:tab w:val="center" w:pos="4513"/>
        <w:tab w:val="right" w:pos="9026"/>
      </w:tabs>
      <w:rPr>
        <w:color w:val="000000"/>
      </w:rPr>
    </w:pPr>
  </w:p>
  <w:p w14:paraId="67FCD0BD" w14:textId="77777777" w:rsidR="001A4D81" w:rsidRDefault="001A4D81">
    <w:pPr>
      <w:pBdr>
        <w:top w:val="nil"/>
        <w:left w:val="nil"/>
        <w:bottom w:val="nil"/>
        <w:right w:val="nil"/>
        <w:between w:val="nil"/>
      </w:pBdr>
      <w:tabs>
        <w:tab w:val="center" w:pos="4513"/>
        <w:tab w:val="right" w:pos="9026"/>
      </w:tabs>
      <w:rPr>
        <w:color w:val="000000"/>
      </w:rPr>
    </w:pPr>
  </w:p>
  <w:p w14:paraId="68E0D692" w14:textId="77777777" w:rsidR="001A4D81" w:rsidRDefault="001A4D81">
    <w:pPr>
      <w:pBdr>
        <w:top w:val="nil"/>
        <w:left w:val="nil"/>
        <w:bottom w:val="nil"/>
        <w:right w:val="nil"/>
        <w:between w:val="nil"/>
      </w:pBdr>
      <w:tabs>
        <w:tab w:val="center" w:pos="4513"/>
        <w:tab w:val="right" w:pos="9026"/>
      </w:tabs>
      <w:rPr>
        <w:color w:val="000000"/>
      </w:rPr>
    </w:pPr>
  </w:p>
  <w:p w14:paraId="14949F2B" w14:textId="77777777" w:rsidR="001A4D81" w:rsidRDefault="001A4D81">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79558E"/>
    <w:multiLevelType w:val="multilevel"/>
    <w:tmpl w:val="E3AE2C5E"/>
    <w:lvl w:ilvl="0">
      <w:start w:val="1"/>
      <w:numFmt w:val="decimalZero"/>
      <w:lvlText w:val="[00%1]"/>
      <w:lvlJc w:val="left"/>
      <w:pPr>
        <w:ind w:left="4767" w:hanging="357"/>
      </w:pPr>
      <w:rPr>
        <w:rFonts w:ascii="Times New Roman" w:eastAsia="Times New Roman" w:hAnsi="Times New Roman" w:cs="Times New Roman"/>
        <w:b/>
        <w:bCs/>
        <w:i w:val="0"/>
        <w:iCs w:val="0"/>
        <w:color w:val="000000"/>
        <w:sz w:val="24"/>
        <w:szCs w:val="24"/>
      </w:rPr>
    </w:lvl>
    <w:lvl w:ilvl="1">
      <w:start w:val="1"/>
      <w:numFmt w:val="low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64CC44E8"/>
    <w:multiLevelType w:val="multilevel"/>
    <w:tmpl w:val="84E24F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6754455">
    <w:abstractNumId w:val="0"/>
  </w:num>
  <w:num w:numId="2" w16cid:durableId="10402008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D81"/>
    <w:rsid w:val="001A4D81"/>
    <w:rsid w:val="00B10B95"/>
    <w:rsid w:val="00C975EC"/>
    <w:rsid w:val="00CF5161"/>
    <w:rsid w:val="00D71D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6939A"/>
  <w15:docId w15:val="{B236804B-74E8-4836-9FDD-2A882667D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outlineLvl w:val="0"/>
    </w:pPr>
    <w:rPr>
      <w:rFonts w:ascii="Cambria" w:eastAsia="Cambria" w:hAnsi="Cambria" w:cs="Cambria"/>
      <w:color w:val="366091"/>
      <w:sz w:val="32"/>
      <w:szCs w:val="32"/>
    </w:rPr>
  </w:style>
  <w:style w:type="paragraph" w:styleId="Heading2">
    <w:name w:val="heading 2"/>
    <w:basedOn w:val="Normal"/>
    <w:next w:val="Normal"/>
    <w:link w:val="Heading2Char"/>
    <w:uiPriority w:val="9"/>
    <w:semiHidden/>
    <w:unhideWhenUsed/>
    <w:qFormat/>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link w:val="Heading4Char"/>
    <w:uiPriority w:val="9"/>
    <w:semiHidden/>
    <w:unhideWhenUsed/>
    <w:qFormat/>
    <w:pPr>
      <w:keepNext/>
      <w:spacing w:before="240" w:after="60"/>
      <w:outlineLvl w:val="3"/>
    </w:pPr>
    <w:rPr>
      <w:rFonts w:ascii="Calibri" w:eastAsia="Calibri" w:hAnsi="Calibri" w:cs="Calibri"/>
      <w:b/>
      <w:bCs/>
      <w:sz w:val="28"/>
      <w:szCs w:val="28"/>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TableNormal6">
    <w:name w:val="TableNormal"/>
    <w:tblPr>
      <w:tblCellMar>
        <w:top w:w="100" w:type="dxa"/>
        <w:left w:w="100" w:type="dxa"/>
        <w:bottom w:w="100" w:type="dxa"/>
        <w:right w:w="100" w:type="dxa"/>
      </w:tblCellMar>
    </w:tblPr>
  </w:style>
  <w:style w:type="table" w:customStyle="1" w:styleId="TableNormal7">
    <w:name w:val="TableNormal"/>
    <w:tblPr>
      <w:tblCellMar>
        <w:top w:w="0" w:type="dxa"/>
        <w:left w:w="0" w:type="dxa"/>
        <w:bottom w:w="0" w:type="dxa"/>
        <w:right w:w="0" w:type="dxa"/>
      </w:tblCellMar>
    </w:tblPr>
  </w:style>
  <w:style w:type="table" w:customStyle="1" w:styleId="TableNormal8">
    <w:name w:val="TableNormal"/>
    <w:tblPr>
      <w:tblCellMar>
        <w:top w:w="0" w:type="dxa"/>
        <w:left w:w="0" w:type="dxa"/>
        <w:bottom w:w="0" w:type="dxa"/>
        <w:right w:w="0" w:type="dxa"/>
      </w:tblCellMar>
    </w:tblPr>
  </w:style>
  <w:style w:type="table" w:customStyle="1" w:styleId="TableNormal9">
    <w:name w:val="TableNormal"/>
    <w:tblPr>
      <w:tblCellMar>
        <w:top w:w="0" w:type="dxa"/>
        <w:left w:w="0" w:type="dxa"/>
        <w:bottom w:w="0" w:type="dxa"/>
        <w:right w:w="0" w:type="dxa"/>
      </w:tblCellMar>
    </w:tblPr>
  </w:style>
  <w:style w:type="table" w:customStyle="1" w:styleId="TableNormala">
    <w:name w:val="TableNormal"/>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qFormat/>
    <w:rPr>
      <w:rFonts w:ascii="Segoe UI" w:hAnsi="Segoe UI" w:cs="Segoe UI"/>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qFormat/>
    <w:pPr>
      <w:tabs>
        <w:tab w:val="center" w:pos="4513"/>
        <w:tab w:val="right" w:pos="9026"/>
      </w:tabs>
    </w:pPr>
  </w:style>
  <w:style w:type="paragraph" w:styleId="Header">
    <w:name w:val="header"/>
    <w:basedOn w:val="Normal"/>
    <w:link w:val="HeaderChar"/>
    <w:uiPriority w:val="99"/>
    <w:qFormat/>
    <w:pPr>
      <w:tabs>
        <w:tab w:val="center" w:pos="4513"/>
        <w:tab w:val="right" w:pos="9026"/>
      </w:tabs>
    </w:pPr>
  </w:style>
  <w:style w:type="character" w:styleId="LineNumber">
    <w:name w:val="line number"/>
    <w:basedOn w:val="DefaultParagraphFont"/>
    <w:uiPriority w:val="99"/>
    <w:qFormat/>
  </w:style>
  <w:style w:type="paragraph" w:styleId="NormalWeb">
    <w:name w:val="Normal (Web)"/>
    <w:basedOn w:val="Normal"/>
    <w:uiPriority w:val="99"/>
    <w:qFormat/>
    <w:pPr>
      <w:spacing w:before="100" w:beforeAutospacing="1" w:after="100" w:afterAutospacing="1"/>
    </w:p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3">
    <w:name w:val="Medium Grid 3"/>
    <w:basedOn w:val="TableNormal"/>
    <w:uiPriority w:val="69"/>
    <w:qFormat/>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qFormat/>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qFormat/>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qFormat/>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qFormat/>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FBCAA2"/>
      </w:tcPr>
    </w:tblStylePr>
  </w:style>
  <w:style w:type="character" w:customStyle="1" w:styleId="Heading4Char">
    <w:name w:val="Heading 4 Char"/>
    <w:basedOn w:val="DefaultParagraphFont"/>
    <w:link w:val="Heading4"/>
    <w:qFormat/>
    <w:rPr>
      <w:rFonts w:ascii="Calibri" w:eastAsia="Times New Roman" w:hAnsi="Calibri" w:cs="Times New Roman"/>
      <w:b/>
      <w:bCs/>
      <w:sz w:val="28"/>
      <w:szCs w:val="28"/>
      <w:lang w:val="en-US"/>
    </w:rPr>
  </w:style>
  <w:style w:type="paragraph" w:styleId="ListParagraph">
    <w:name w:val="List Paragraph"/>
    <w:basedOn w:val="Normal"/>
    <w:uiPriority w:val="34"/>
    <w:qFormat/>
    <w:pPr>
      <w:ind w:left="720"/>
    </w:pPr>
  </w:style>
  <w:style w:type="character" w:customStyle="1" w:styleId="HeaderChar">
    <w:name w:val="Header Char"/>
    <w:basedOn w:val="DefaultParagraphFont"/>
    <w:link w:val="Header"/>
    <w:uiPriority w:val="99"/>
    <w:qFormat/>
    <w:rPr>
      <w:rFonts w:ascii="Times New Roman" w:eastAsia="Times New Roman" w:hAnsi="Times New Roman" w:cs="Times New Roman"/>
      <w:sz w:val="24"/>
      <w:szCs w:val="24"/>
      <w:lang w:val="en-US"/>
    </w:rPr>
  </w:style>
  <w:style w:type="character" w:customStyle="1" w:styleId="FooterChar">
    <w:name w:val="Footer Char"/>
    <w:basedOn w:val="DefaultParagraphFont"/>
    <w:link w:val="Footer"/>
    <w:uiPriority w:val="99"/>
    <w:qFormat/>
    <w:rPr>
      <w:rFonts w:ascii="Times New Roman" w:eastAsia="Times New Roman" w:hAnsi="Times New Roman" w:cs="Times New Roman"/>
      <w:sz w:val="24"/>
      <w:szCs w:val="24"/>
      <w:lang w:val="en-US"/>
    </w:rPr>
  </w:style>
  <w:style w:type="character" w:customStyle="1" w:styleId="hscoswrapper">
    <w:name w:val="hs_cos_wrapper"/>
    <w:basedOn w:val="DefaultParagraphFont"/>
    <w:qFormat/>
  </w:style>
  <w:style w:type="paragraph" w:customStyle="1" w:styleId="Default">
    <w:name w:val="Default"/>
    <w:qFormat/>
    <w:pPr>
      <w:autoSpaceDE w:val="0"/>
      <w:autoSpaceDN w:val="0"/>
      <w:adjustRightInd w:val="0"/>
    </w:pPr>
    <w:rPr>
      <w:rFonts w:eastAsia="Calibri"/>
      <w:color w:val="000000"/>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365F91" w:themeColor="accent1" w:themeShade="BF"/>
      <w:sz w:val="32"/>
      <w:szCs w:val="32"/>
      <w:lang w:val="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26"/>
      <w:szCs w:val="26"/>
      <w:lang w:val="en-US"/>
    </w:rPr>
  </w:style>
  <w:style w:type="character" w:customStyle="1" w:styleId="text-with-replacments">
    <w:name w:val="text-with-replacments"/>
    <w:basedOn w:val="DefaultParagraphFont"/>
    <w:qFormat/>
  </w:style>
  <w:style w:type="paragraph" w:customStyle="1" w:styleId="z-TopofForm1">
    <w:name w:val="z-Top of Form1"/>
    <w:basedOn w:val="Normal"/>
    <w:next w:val="Normal"/>
    <w:link w:val="z-TopofFormChar"/>
    <w:uiPriority w:val="99"/>
    <w:semiHidden/>
    <w:unhideWhenUsed/>
    <w:qFormat/>
    <w:pPr>
      <w:pBdr>
        <w:bottom w:val="single" w:sz="6" w:space="1" w:color="auto"/>
      </w:pBdr>
      <w:jc w:val="center"/>
    </w:pPr>
    <w:rPr>
      <w:rFonts w:ascii="Arial" w:hAnsi="Arial" w:cs="Arial"/>
      <w:vanish/>
      <w:sz w:val="16"/>
      <w:szCs w:val="16"/>
      <w:lang w:val="en-IN"/>
    </w:rPr>
  </w:style>
  <w:style w:type="character" w:customStyle="1" w:styleId="z-TopofFormChar">
    <w:name w:val="z-Top of Form Char"/>
    <w:basedOn w:val="DefaultParagraphFont"/>
    <w:link w:val="z-TopofForm1"/>
    <w:uiPriority w:val="99"/>
    <w:semiHidden/>
    <w:qFormat/>
    <w:rPr>
      <w:rFonts w:ascii="Arial" w:eastAsia="Times New Roman" w:hAnsi="Arial" w:cs="Arial"/>
      <w:vanish/>
      <w:sz w:val="16"/>
      <w:szCs w:val="16"/>
      <w:lang w:eastAsia="en-IN"/>
    </w:rPr>
  </w:style>
  <w:style w:type="character" w:customStyle="1" w:styleId="BalloonTextChar">
    <w:name w:val="Balloon Text Char"/>
    <w:basedOn w:val="DefaultParagraphFont"/>
    <w:link w:val="BalloonText"/>
    <w:uiPriority w:val="99"/>
    <w:semiHidden/>
    <w:qFormat/>
    <w:rPr>
      <w:rFonts w:ascii="Segoe UI" w:eastAsia="Times New Roman" w:hAnsi="Segoe UI" w:cs="Segoe UI"/>
      <w:sz w:val="18"/>
      <w:szCs w:val="18"/>
      <w:lang w:val="en-US"/>
    </w:rPr>
  </w:style>
  <w:style w:type="character" w:customStyle="1" w:styleId="CommentTextChar">
    <w:name w:val="Comment Text Char"/>
    <w:basedOn w:val="DefaultParagraphFont"/>
    <w:link w:val="CommentText"/>
    <w:uiPriority w:val="99"/>
    <w:qFormat/>
    <w:rPr>
      <w:rFonts w:ascii="Times New Roman" w:eastAsia="Times New Roman" w:hAnsi="Times New Roman" w:cs="Times New Roman"/>
      <w:sz w:val="20"/>
      <w:szCs w:val="20"/>
      <w:lang w:val="en-US"/>
    </w:rPr>
  </w:style>
  <w:style w:type="character" w:customStyle="1" w:styleId="CommentSubjectChar">
    <w:name w:val="Comment Subject Char"/>
    <w:basedOn w:val="CommentTextChar"/>
    <w:link w:val="CommentSubject"/>
    <w:uiPriority w:val="99"/>
    <w:semiHidden/>
    <w:qFormat/>
    <w:rPr>
      <w:rFonts w:ascii="Times New Roman" w:eastAsia="Times New Roman" w:hAnsi="Times New Roman" w:cs="Times New Roman"/>
      <w:b/>
      <w:bCs/>
      <w:sz w:val="20"/>
      <w:szCs w:val="20"/>
      <w:lang w:val="en-US"/>
    </w:rPr>
  </w:style>
  <w:style w:type="paragraph" w:customStyle="1" w:styleId="Revision1">
    <w:name w:val="Revision1"/>
    <w:hidden/>
    <w:uiPriority w:val="99"/>
    <w:semiHidden/>
    <w:qFormat/>
  </w:style>
  <w:style w:type="character" w:customStyle="1" w:styleId="cursor-pointer">
    <w:name w:val="cursor-pointer"/>
    <w:basedOn w:val="DefaultParagraphFont"/>
    <w:rsid w:val="00A227E2"/>
  </w:style>
  <w:style w:type="character" w:styleId="PlaceholderText">
    <w:name w:val="Placeholder Text"/>
    <w:basedOn w:val="DefaultParagraphFont"/>
    <w:uiPriority w:val="99"/>
    <w:unhideWhenUsed/>
    <w:rsid w:val="00B73257"/>
    <w:rPr>
      <w:color w:val="666666"/>
    </w:rPr>
  </w:style>
  <w:style w:type="table" w:customStyle="1" w:styleId="10">
    <w:name w:val="10"/>
    <w:basedOn w:val="TableNormal"/>
    <w:tblPr>
      <w:tblStyleRowBandSize w:val="1"/>
      <w:tblStyleColBandSize w:val="1"/>
      <w:tblCellMar>
        <w:left w:w="115" w:type="dxa"/>
        <w:right w:w="115" w:type="dxa"/>
      </w:tblCellMar>
    </w:tblPr>
  </w:style>
  <w:style w:type="table" w:customStyle="1" w:styleId="9">
    <w:name w:val="9"/>
    <w:basedOn w:val="TableNormal"/>
    <w:tblPr>
      <w:tblStyleRowBandSize w:val="1"/>
      <w:tblStyleColBandSize w:val="1"/>
      <w:tblCellMar>
        <w:left w:w="115" w:type="dxa"/>
        <w:right w:w="115" w:type="dxa"/>
      </w:tblCellMar>
    </w:tblPr>
    <w:tcPr>
      <w:shd w:val="clear" w:color="auto" w:fill="FDE4D0"/>
    </w:tcPr>
  </w:style>
  <w:style w:type="paragraph" w:styleId="Revision">
    <w:name w:val="Revision"/>
    <w:hidden/>
    <w:uiPriority w:val="99"/>
    <w:semiHidden/>
    <w:rsid w:val="002B628D"/>
  </w:style>
  <w:style w:type="table" w:customStyle="1" w:styleId="8">
    <w:name w:val="8"/>
    <w:basedOn w:val="TableNormal"/>
    <w:tblPr>
      <w:tblStyleRowBandSize w:val="1"/>
      <w:tblStyleColBandSize w:val="1"/>
      <w:tblCellMar>
        <w:left w:w="115" w:type="dxa"/>
        <w:right w:w="115" w:type="dxa"/>
      </w:tblCellMar>
    </w:tblPr>
    <w:tcPr>
      <w:shd w:val="clear" w:color="auto" w:fill="FDE4D0"/>
    </w:tcPr>
  </w:style>
  <w:style w:type="table" w:customStyle="1" w:styleId="7">
    <w:name w:val="7"/>
    <w:basedOn w:val="TableNormal"/>
    <w:tblPr>
      <w:tblStyleRowBandSize w:val="1"/>
      <w:tblStyleColBandSize w:val="1"/>
      <w:tblCellMar>
        <w:left w:w="115" w:type="dxa"/>
        <w:right w:w="115" w:type="dxa"/>
      </w:tblCellMar>
    </w:tblPr>
    <w:tcPr>
      <w:shd w:val="clear" w:color="auto" w:fill="FDE4D0"/>
    </w:tcPr>
  </w:style>
  <w:style w:type="table" w:customStyle="1" w:styleId="6">
    <w:name w:val="6"/>
    <w:basedOn w:val="TableNormal"/>
    <w:tblPr>
      <w:tblStyleRowBandSize w:val="1"/>
      <w:tblStyleColBandSize w:val="1"/>
      <w:tblCellMar>
        <w:left w:w="115" w:type="dxa"/>
        <w:right w:w="115" w:type="dxa"/>
      </w:tblCellMar>
    </w:tblPr>
    <w:tcPr>
      <w:shd w:val="clear" w:color="auto" w:fill="FDE4D0"/>
    </w:tcPr>
  </w:style>
  <w:style w:type="table" w:customStyle="1" w:styleId="5">
    <w:name w:val="5"/>
    <w:basedOn w:val="TableNormal"/>
    <w:tblPr>
      <w:tblStyleRowBandSize w:val="1"/>
      <w:tblStyleColBandSize w:val="1"/>
      <w:tblCellMar>
        <w:left w:w="115" w:type="dxa"/>
        <w:right w:w="115" w:type="dxa"/>
      </w:tblCellMar>
    </w:tblPr>
    <w:tcPr>
      <w:shd w:val="clear" w:color="auto" w:fill="FDE4D0"/>
    </w:tcPr>
  </w:style>
  <w:style w:type="character" w:customStyle="1" w:styleId="overflow-hidden">
    <w:name w:val="overflow-hidden"/>
    <w:basedOn w:val="DefaultParagraphFont"/>
    <w:rsid w:val="00B47350"/>
  </w:style>
  <w:style w:type="table" w:customStyle="1" w:styleId="4">
    <w:name w:val="4"/>
    <w:basedOn w:val="TableNormal"/>
    <w:tblPr>
      <w:tblStyleRowBandSize w:val="1"/>
      <w:tblStyleColBandSize w:val="1"/>
      <w:tblCellMar>
        <w:left w:w="115" w:type="dxa"/>
        <w:right w:w="115" w:type="dxa"/>
      </w:tblCellMar>
    </w:tblPr>
    <w:tcPr>
      <w:shd w:val="clear" w:color="auto" w:fill="FDE4D0"/>
    </w:tcPr>
  </w:style>
  <w:style w:type="table" w:customStyle="1" w:styleId="3">
    <w:name w:val="3"/>
    <w:basedOn w:val="TableNormal"/>
    <w:tblPr>
      <w:tblStyleRowBandSize w:val="1"/>
      <w:tblStyleColBandSize w:val="1"/>
      <w:tblCellMar>
        <w:left w:w="115" w:type="dxa"/>
        <w:right w:w="115" w:type="dxa"/>
      </w:tblCellMar>
    </w:tblPr>
    <w:tcPr>
      <w:shd w:val="clear" w:color="auto" w:fill="FDE4D0"/>
    </w:tcPr>
  </w:style>
  <w:style w:type="table" w:customStyle="1" w:styleId="2">
    <w:name w:val="2"/>
    <w:basedOn w:val="TableNormal"/>
    <w:tblPr>
      <w:tblStyleRowBandSize w:val="1"/>
      <w:tblStyleColBandSize w:val="1"/>
      <w:tblCellMar>
        <w:left w:w="115" w:type="dxa"/>
        <w:right w:w="115" w:type="dxa"/>
      </w:tblCellMar>
    </w:tblPr>
    <w:tcPr>
      <w:shd w:val="clear" w:color="auto" w:fill="FDE4D0"/>
    </w:tcPr>
  </w:style>
  <w:style w:type="table" w:customStyle="1" w:styleId="1">
    <w:name w:val="1"/>
    <w:basedOn w:val="TableNormal"/>
    <w:tblPr>
      <w:tblStyleRowBandSize w:val="1"/>
      <w:tblStyleColBandSize w:val="1"/>
      <w:tblCellMar>
        <w:left w:w="115" w:type="dxa"/>
        <w:right w:w="115" w:type="dxa"/>
      </w:tblCellMar>
    </w:tblPr>
    <w:tcPr>
      <w:shd w:val="clear" w:color="auto" w:fill="FDE4D0"/>
    </w:tcPr>
  </w:style>
  <w:style w:type="table" w:customStyle="1" w:styleId="12">
    <w:name w:val="12"/>
    <w:basedOn w:val="TableNormal"/>
    <w:tblPr>
      <w:tblStyleRowBandSize w:val="1"/>
      <w:tblStyleColBandSize w:val="1"/>
      <w:tblCellMar>
        <w:left w:w="115" w:type="dxa"/>
        <w:right w:w="115" w:type="dxa"/>
      </w:tblCellMar>
    </w:tblPr>
    <w:tcPr>
      <w:shd w:val="clear" w:color="auto" w:fill="FDE4D0"/>
    </w:tcPr>
  </w:style>
  <w:style w:type="character" w:styleId="Hyperlink">
    <w:name w:val="Hyperlink"/>
    <w:basedOn w:val="DefaultParagraphFont"/>
    <w:uiPriority w:val="99"/>
    <w:unhideWhenUsed/>
    <w:rsid w:val="00AC59D5"/>
    <w:rPr>
      <w:color w:val="0000FF" w:themeColor="hyperlink"/>
      <w:u w:val="single"/>
    </w:rPr>
  </w:style>
  <w:style w:type="character" w:styleId="UnresolvedMention">
    <w:name w:val="Unresolved Mention"/>
    <w:basedOn w:val="DefaultParagraphFont"/>
    <w:uiPriority w:val="99"/>
    <w:semiHidden/>
    <w:unhideWhenUsed/>
    <w:rsid w:val="00AC59D5"/>
    <w:rPr>
      <w:color w:val="605E5C"/>
      <w:shd w:val="clear" w:color="auto" w:fill="E1DFDD"/>
    </w:rPr>
  </w:style>
  <w:style w:type="table" w:customStyle="1" w:styleId="11">
    <w:name w:val="11"/>
    <w:basedOn w:val="TableNormal"/>
    <w:tblPr>
      <w:tblStyleRowBandSize w:val="1"/>
      <w:tblStyleColBandSize w:val="1"/>
    </w:tblPr>
  </w:style>
  <w:style w:type="table" w:customStyle="1" w:styleId="a">
    <w:basedOn w:val="TableNormal"/>
    <w:tblPr>
      <w:tblStyleRowBandSize w:val="1"/>
      <w:tblStyleColBandSize w:val="1"/>
    </w:tblPr>
  </w:style>
  <w:style w:type="character" w:customStyle="1" w:styleId="katex-mathml">
    <w:name w:val="katex-mathml"/>
    <w:basedOn w:val="DefaultParagraphFont"/>
    <w:rsid w:val="00FB4488"/>
  </w:style>
  <w:style w:type="character" w:customStyle="1" w:styleId="mord">
    <w:name w:val="mord"/>
    <w:basedOn w:val="DefaultParagraphFont"/>
    <w:rsid w:val="00FB4488"/>
  </w:style>
  <w:style w:type="character" w:customStyle="1" w:styleId="mrel">
    <w:name w:val="mrel"/>
    <w:basedOn w:val="DefaultParagraphFont"/>
    <w:rsid w:val="00FB4488"/>
  </w:style>
  <w:style w:type="character" w:customStyle="1" w:styleId="mbin">
    <w:name w:val="mbin"/>
    <w:basedOn w:val="DefaultParagraphFont"/>
    <w:rsid w:val="00FB4488"/>
  </w:style>
  <w:style w:type="character" w:customStyle="1" w:styleId="mopen">
    <w:name w:val="mopen"/>
    <w:basedOn w:val="DefaultParagraphFont"/>
    <w:rsid w:val="00FB4488"/>
  </w:style>
  <w:style w:type="character" w:customStyle="1" w:styleId="mclose">
    <w:name w:val="mclose"/>
    <w:basedOn w:val="DefaultParagraphFont"/>
    <w:rsid w:val="00FB4488"/>
  </w:style>
  <w:style w:type="character" w:styleId="Emphasis">
    <w:name w:val="Emphasis"/>
    <w:basedOn w:val="DefaultParagraphFont"/>
    <w:uiPriority w:val="20"/>
    <w:qFormat/>
    <w:rsid w:val="00FB4488"/>
    <w:rPr>
      <w:i/>
      <w:iCs/>
    </w:rPr>
  </w:style>
  <w:style w:type="character" w:customStyle="1" w:styleId="mop">
    <w:name w:val="mop"/>
    <w:basedOn w:val="DefaultParagraphFont"/>
    <w:rsid w:val="00FB4488"/>
  </w:style>
  <w:style w:type="character" w:customStyle="1" w:styleId="whitespace-nowrap">
    <w:name w:val="whitespace-nowrap!"/>
    <w:basedOn w:val="DefaultParagraphFont"/>
    <w:rsid w:val="00355948"/>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9">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IxF6I0X0ycNYjBqFnL+kR2XqCQ==">CgMxLjAyCGguZ2pkZ3hzOAByITFmQ2wwcUtIMlgtYU9EWV9DaG0wU0dncHFaSDBqcERVaQ==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2330</Words>
  <Characters>13286</Characters>
  <Application>Microsoft Office Word</Application>
  <DocSecurity>0</DocSecurity>
  <Lines>110</Lines>
  <Paragraphs>31</Paragraphs>
  <ScaleCrop>false</ScaleCrop>
  <Company/>
  <LinksUpToDate>false</LinksUpToDate>
  <CharactersWithSpaces>15585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Anindita Ghosh</dc:creator>
  <cp:lastModifiedBy>Astrarea Reserch</cp:lastModifiedBy>
  <cp:revision>3</cp:revision>
  <dcterms:created xsi:type="dcterms:W3CDTF">2025-11-23T12:08:00Z</dcterms:created>
  <dcterms:modified xsi:type="dcterms:W3CDTF">2025-12-12T08:33:00Z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380C4061B6764799A49EAB43DC27A1B4_13</vt:lpwstr>
  </property>
  <property fmtid="{D5CDD505-2E9C-101B-9397-08002B2CF9AE}" pid="3" name="KSOProductBuildVer">
    <vt:lpwstr>1033-12.2.0.13472</vt:lpwstr>
  </property>
  <property fmtid="{D5CDD505-2E9C-101B-9397-08002B2CF9AE}" pid="4" name="GrammarlyDocumentId">
    <vt:lpwstr>72feb33e54992e118c2756bdd397d10b9a6ff029bd20e7783a73632ec7df4518</vt:lpwstr>
  </property>
</Properties>
</file>