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0691077"/>
        <w:docPartObj>
          <w:docPartGallery w:val="Cover Pages"/>
          <w:docPartUnique/>
        </w:docPartObj>
      </w:sdtPr>
      <w:sdtContent>
        <w:p w14:paraId="1EABF116" w14:textId="43601F55" w:rsidR="00096FBA" w:rsidRDefault="00096FBA">
          <w:r w:rsidRPr="00096FBA">
            <w:rPr>
              <w:rFonts w:ascii="Times New Roman" w:eastAsia="Times New Roman" w:hAnsi="Times New Roman" w:cs="Times New Roman"/>
              <w:noProof/>
              <w:lang w:eastAsia="en-GB"/>
            </w:rPr>
            <w:drawing>
              <wp:anchor distT="0" distB="0" distL="114300" distR="114300" simplePos="0" relativeHeight="251658239" behindDoc="1" locked="0" layoutInCell="1" allowOverlap="1" wp14:anchorId="6E32624E" wp14:editId="3761C9C2">
                <wp:simplePos x="0" y="0"/>
                <wp:positionH relativeFrom="column">
                  <wp:posOffset>609600</wp:posOffset>
                </wp:positionH>
                <wp:positionV relativeFrom="paragraph">
                  <wp:posOffset>165100</wp:posOffset>
                </wp:positionV>
                <wp:extent cx="4229100" cy="3171825"/>
                <wp:effectExtent l="0" t="0" r="0" b="3175"/>
                <wp:wrapTight wrapText="bothSides">
                  <wp:wrapPolygon edited="0">
                    <wp:start x="0" y="0"/>
                    <wp:lineTo x="0" y="21535"/>
                    <wp:lineTo x="21535" y="21535"/>
                    <wp:lineTo x="21535" y="0"/>
                    <wp:lineTo x="0" y="0"/>
                  </wp:wrapPolygon>
                </wp:wrapTight>
                <wp:docPr id="1" name="Picture 1" descr="Microsoft unveils its new logo, the first major change in 25 year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unveils its new logo, the first major change in 25 years - The  Ve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0" locked="0" layoutInCell="1" allowOverlap="1" wp14:anchorId="454C9649" wp14:editId="262E385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21A4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1DF249DE" w14:textId="061ECBF5" w:rsidR="00096FBA" w:rsidRPr="00096FBA" w:rsidRDefault="00096FBA" w:rsidP="00096FBA">
          <w:pP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0288" behindDoc="0" locked="0" layoutInCell="1" allowOverlap="1" wp14:anchorId="56339EC5" wp14:editId="229A42BC">
                    <wp:simplePos x="0" y="0"/>
                    <wp:positionH relativeFrom="page">
                      <wp:posOffset>424815</wp:posOffset>
                    </wp:positionH>
                    <wp:positionV relativeFrom="page">
                      <wp:posOffset>8123555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C36C7" w14:textId="2CDC22BA" w:rsidR="00096FBA" w:rsidRDefault="00096FBA">
                                    <w:pPr>
                                      <w:pStyle w:val="NoSpacing"/>
                                      <w:jc w:val="right"/>
                                      <w:rPr>
                                        <w:color w:val="595959" w:themeColor="text1" w:themeTint="A6"/>
                                        <w:sz w:val="28"/>
                                        <w:szCs w:val="28"/>
                                      </w:rPr>
                                    </w:pPr>
                                    <w:r>
                                      <w:rPr>
                                        <w:color w:val="595959" w:themeColor="text1" w:themeTint="A6"/>
                                        <w:sz w:val="28"/>
                                        <w:szCs w:val="28"/>
                                      </w:rPr>
                                      <w:t>(pg) Anirudh Srinivas</w:t>
                                    </w:r>
                                  </w:p>
                                </w:sdtContent>
                              </w:sdt>
                              <w:p w14:paraId="4BBE5871" w14:textId="69D81AB0" w:rsidR="00096FBA" w:rsidRDefault="00096FBA" w:rsidP="00096FBA">
                                <w:pPr>
                                  <w:pStyle w:val="NoSpacing"/>
                                  <w:ind w:left="504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A.Srinivas-20@student.lboro.ac.uk</w:t>
                                    </w:r>
                                  </w:sdtContent>
                                </w:sdt>
                              </w:p>
                              <w:p w14:paraId="2284D31E" w14:textId="68FAFD81" w:rsidR="00DC6EE6" w:rsidRDefault="00DC6EE6" w:rsidP="00096FBA">
                                <w:pPr>
                                  <w:pStyle w:val="NoSpacing"/>
                                  <w:ind w:left="5040"/>
                                  <w:jc w:val="center"/>
                                  <w:rPr>
                                    <w:color w:val="595959" w:themeColor="text1" w:themeTint="A6"/>
                                    <w:sz w:val="18"/>
                                    <w:szCs w:val="18"/>
                                  </w:rPr>
                                </w:pPr>
                                <w:r>
                                  <w:rPr>
                                    <w:color w:val="595959" w:themeColor="text1" w:themeTint="A6"/>
                                    <w:sz w:val="18"/>
                                    <w:szCs w:val="18"/>
                                  </w:rPr>
                                  <w:t>669-264-0434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339EC5" id="_x0000_t202" coordsize="21600,21600" o:spt="202" path="m,l,21600r21600,l21600,xe">
                    <v:stroke joinstyle="miter"/>
                    <v:path gradientshapeok="t" o:connecttype="rect"/>
                  </v:shapetype>
                  <v:shape id="Text Box 152" o:spid="_x0000_s1026" type="#_x0000_t202" style="position:absolute;margin-left:33.45pt;margin-top:639.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C36C7" w14:textId="2CDC22BA" w:rsidR="00096FBA" w:rsidRDefault="00096FBA">
                              <w:pPr>
                                <w:pStyle w:val="NoSpacing"/>
                                <w:jc w:val="right"/>
                                <w:rPr>
                                  <w:color w:val="595959" w:themeColor="text1" w:themeTint="A6"/>
                                  <w:sz w:val="28"/>
                                  <w:szCs w:val="28"/>
                                </w:rPr>
                              </w:pPr>
                              <w:r>
                                <w:rPr>
                                  <w:color w:val="595959" w:themeColor="text1" w:themeTint="A6"/>
                                  <w:sz w:val="28"/>
                                  <w:szCs w:val="28"/>
                                </w:rPr>
                                <w:t>(pg) Anirudh Srinivas</w:t>
                              </w:r>
                            </w:p>
                          </w:sdtContent>
                        </w:sdt>
                        <w:p w14:paraId="4BBE5871" w14:textId="69D81AB0" w:rsidR="00096FBA" w:rsidRDefault="00096FBA" w:rsidP="00096FBA">
                          <w:pPr>
                            <w:pStyle w:val="NoSpacing"/>
                            <w:ind w:left="5040"/>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A.Srinivas-20@student.lboro.ac.uk</w:t>
                              </w:r>
                            </w:sdtContent>
                          </w:sdt>
                        </w:p>
                        <w:p w14:paraId="2284D31E" w14:textId="68FAFD81" w:rsidR="00DC6EE6" w:rsidRDefault="00DC6EE6" w:rsidP="00096FBA">
                          <w:pPr>
                            <w:pStyle w:val="NoSpacing"/>
                            <w:ind w:left="5040"/>
                            <w:jc w:val="center"/>
                            <w:rPr>
                              <w:color w:val="595959" w:themeColor="text1" w:themeTint="A6"/>
                              <w:sz w:val="18"/>
                              <w:szCs w:val="18"/>
                            </w:rPr>
                          </w:pPr>
                          <w:r>
                            <w:rPr>
                              <w:color w:val="595959" w:themeColor="text1" w:themeTint="A6"/>
                              <w:sz w:val="18"/>
                              <w:szCs w:val="18"/>
                            </w:rPr>
                            <w:t>669-264-0434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649446" wp14:editId="4EC53946">
                    <wp:simplePos x="0" y="0"/>
                    <wp:positionH relativeFrom="page">
                      <wp:posOffset>-19685</wp:posOffset>
                    </wp:positionH>
                    <wp:positionV relativeFrom="page">
                      <wp:posOffset>1326515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F799D" w14:textId="0BFD5287" w:rsidR="00096FBA" w:rsidRDefault="00096F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1528">
                                      <w:rPr>
                                        <w:caps/>
                                        <w:color w:val="4472C4" w:themeColor="accent1"/>
                                        <w:sz w:val="64"/>
                                        <w:szCs w:val="64"/>
                                      </w:rPr>
                                      <w:t>Financial analysis</w:t>
                                    </w:r>
                                    <w:r>
                                      <w:rPr>
                                        <w:caps/>
                                        <w:color w:val="4472C4" w:themeColor="accent1"/>
                                        <w:sz w:val="64"/>
                                        <w:szCs w:val="64"/>
                                      </w:rPr>
                                      <w:br/>
                                      <w:t xml:space="preserve"> </w:t>
                                    </w:r>
                                  </w:sdtContent>
                                </w:sdt>
                              </w:p>
                              <w:p w14:paraId="1DC94325" w14:textId="1269DE96" w:rsidR="00096FBA" w:rsidRDefault="00096FB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649446" id="Text Box 154" o:spid="_x0000_s1027" type="#_x0000_t202" style="position:absolute;margin-left:-1.55pt;margin-top:104.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" filled="f" stroked="f" strokeweight=".5pt">
                    <v:textbox inset="126pt,0,54pt,0">
                      <w:txbxContent>
                        <w:p w14:paraId="445F799D" w14:textId="0BFD5287" w:rsidR="00096FBA" w:rsidRDefault="00096F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1528">
                                <w:rPr>
                                  <w:caps/>
                                  <w:color w:val="4472C4" w:themeColor="accent1"/>
                                  <w:sz w:val="64"/>
                                  <w:szCs w:val="64"/>
                                </w:rPr>
                                <w:t>Financial analysis</w:t>
                              </w:r>
                              <w:r>
                                <w:rPr>
                                  <w:caps/>
                                  <w:color w:val="4472C4" w:themeColor="accent1"/>
                                  <w:sz w:val="64"/>
                                  <w:szCs w:val="64"/>
                                </w:rPr>
                                <w:br/>
                                <w:t xml:space="preserve"> </w:t>
                              </w:r>
                            </w:sdtContent>
                          </w:sdt>
                        </w:p>
                        <w:p w14:paraId="1DC94325" w14:textId="1269DE96" w:rsidR="00096FBA" w:rsidRDefault="00096FB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A57A01" wp14:editId="573CE3C3">
                    <wp:simplePos x="0" y="0"/>
                    <wp:positionH relativeFrom="page">
                      <wp:posOffset>222885</wp:posOffset>
                    </wp:positionH>
                    <wp:positionV relativeFrom="page">
                      <wp:posOffset>5935345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EDCB0" w14:textId="77777777" w:rsidR="00096FBA" w:rsidRDefault="00096FB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2C514FF" w14:textId="3C4638BE" w:rsidR="00096FBA" w:rsidRDefault="00DC6EE6">
                                    <w:pPr>
                                      <w:pStyle w:val="NoSpacing"/>
                                      <w:jc w:val="right"/>
                                      <w:rPr>
                                        <w:color w:val="595959" w:themeColor="text1" w:themeTint="A6"/>
                                        <w:sz w:val="20"/>
                                        <w:szCs w:val="20"/>
                                      </w:rPr>
                                    </w:pPr>
                                    <w:r>
                                      <w:rPr>
                                        <w:color w:val="595959" w:themeColor="text1" w:themeTint="A6"/>
                                        <w:sz w:val="20"/>
                                        <w:szCs w:val="20"/>
                                      </w:rPr>
                                      <w:t xml:space="preserve">This performance appraisal is aimed to demonstrate my understanding of Microsoft’s financial statements and their performance based on the financial model I have created. I will be discussing basic financial metrics like profitability </w:t>
                                    </w:r>
                                    <w:r w:rsidR="00DB7D64">
                                      <w:rPr>
                                        <w:color w:val="595959" w:themeColor="text1" w:themeTint="A6"/>
                                        <w:sz w:val="20"/>
                                        <w:szCs w:val="20"/>
                                      </w:rPr>
                                      <w:t>and efficiency ratios</w:t>
                                    </w:r>
                                    <w:r>
                                      <w:rPr>
                                        <w:color w:val="595959" w:themeColor="text1" w:themeTint="A6"/>
                                        <w:sz w:val="20"/>
                                        <w:szCs w:val="20"/>
                                      </w:rPr>
                                      <w:t xml:space="preserve"> in this document.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A57A01" id="Text Box 153" o:spid="_x0000_s1028" type="#_x0000_t202" style="position:absolute;margin-left:17.55pt;margin-top:467.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Kc16KuUAAAARAQAADwAAAAAAAAAAAAAAAADcBAAAZHJzL2Rvd25yZXYueG1sUEsFBgAA&#13;&#10;AAAEAAQA8wAAAO4FAAAAAA==&#13;&#10;" filled="f" stroked="f" strokeweight=".5pt">
                    <v:textbox style="mso-fit-shape-to-text:t" inset="126pt,0,54pt,0">
                      <w:txbxContent>
                        <w:p w14:paraId="0ADEDCB0" w14:textId="77777777" w:rsidR="00096FBA" w:rsidRDefault="00096FB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2C514FF" w14:textId="3C4638BE" w:rsidR="00096FBA" w:rsidRDefault="00DC6EE6">
                              <w:pPr>
                                <w:pStyle w:val="NoSpacing"/>
                                <w:jc w:val="right"/>
                                <w:rPr>
                                  <w:color w:val="595959" w:themeColor="text1" w:themeTint="A6"/>
                                  <w:sz w:val="20"/>
                                  <w:szCs w:val="20"/>
                                </w:rPr>
                              </w:pPr>
                              <w:r>
                                <w:rPr>
                                  <w:color w:val="595959" w:themeColor="text1" w:themeTint="A6"/>
                                  <w:sz w:val="20"/>
                                  <w:szCs w:val="20"/>
                                </w:rPr>
                                <w:t xml:space="preserve">This performance appraisal is aimed to demonstrate my understanding of Microsoft’s financial statements and their performance based on the financial model I have created. I will be discussing basic financial metrics like profitability </w:t>
                              </w:r>
                              <w:r w:rsidR="00DB7D64">
                                <w:rPr>
                                  <w:color w:val="595959" w:themeColor="text1" w:themeTint="A6"/>
                                  <w:sz w:val="20"/>
                                  <w:szCs w:val="20"/>
                                </w:rPr>
                                <w:t>and efficiency ratios</w:t>
                              </w:r>
                              <w:r>
                                <w:rPr>
                                  <w:color w:val="595959" w:themeColor="text1" w:themeTint="A6"/>
                                  <w:sz w:val="20"/>
                                  <w:szCs w:val="20"/>
                                </w:rPr>
                                <w:t xml:space="preserve"> in this document. </w:t>
                              </w:r>
                            </w:p>
                          </w:sdtContent>
                        </w:sdt>
                      </w:txbxContent>
                    </v:textbox>
                    <w10:wrap type="square" anchorx="page" anchory="page"/>
                  </v:shape>
                </w:pict>
              </mc:Fallback>
            </mc:AlternateContent>
          </w:r>
          <w:r>
            <w:br w:type="page"/>
          </w:r>
          <w:r w:rsidRPr="00096FBA">
            <w:rPr>
              <w:rFonts w:ascii="Times New Roman" w:eastAsia="Times New Roman" w:hAnsi="Times New Roman" w:cs="Times New Roman"/>
              <w:lang w:eastAsia="en-GB"/>
            </w:rPr>
            <w:fldChar w:fldCharType="begin"/>
          </w:r>
          <w:r w:rsidRPr="00096FBA">
            <w:rPr>
              <w:rFonts w:ascii="Times New Roman" w:eastAsia="Times New Roman" w:hAnsi="Times New Roman" w:cs="Times New Roman"/>
              <w:lang w:eastAsia="en-GB"/>
            </w:rPr>
            <w:instrText xml:space="preserve"> INCLUDEPICTURE "/var/folders/ld/w37jjswj3d72nww55xg_545w0000gn/T/com.microsoft.Word/WebArchiveCopyPasteTempFiles/mslogo.jpg" \* MERGEFORMATINET </w:instrText>
          </w:r>
          <w:r w:rsidRPr="00096FBA">
            <w:rPr>
              <w:rFonts w:ascii="Times New Roman" w:eastAsia="Times New Roman" w:hAnsi="Times New Roman" w:cs="Times New Roman"/>
              <w:lang w:eastAsia="en-GB"/>
            </w:rPr>
            <w:fldChar w:fldCharType="separate"/>
          </w:r>
          <w:r w:rsidRPr="00096FBA">
            <w:rPr>
              <w:rFonts w:ascii="Times New Roman" w:eastAsia="Times New Roman" w:hAnsi="Times New Roman" w:cs="Times New Roman"/>
              <w:lang w:eastAsia="en-GB"/>
            </w:rPr>
            <w:fldChar w:fldCharType="end"/>
          </w:r>
        </w:p>
        <w:p w14:paraId="46ABEA3F" w14:textId="08E6EF92" w:rsidR="00B17719" w:rsidRPr="00F56828" w:rsidRDefault="00B17719" w:rsidP="00B17719">
          <w:pPr>
            <w:pStyle w:val="NormalWeb"/>
            <w:rPr>
              <w:rFonts w:ascii="TimesNewRomanPSMT" w:hAnsi="TimesNewRomanPSMT"/>
              <w:b/>
              <w:bCs/>
              <w:color w:val="002060"/>
            </w:rPr>
          </w:pPr>
          <w:r w:rsidRPr="00F56828">
            <w:rPr>
              <w:rFonts w:ascii="TimesNewRomanPSMT" w:hAnsi="TimesNewRomanPSMT"/>
              <w:b/>
              <w:bCs/>
              <w:color w:val="002060"/>
            </w:rPr>
            <w:lastRenderedPageBreak/>
            <w:t xml:space="preserve">Revenue Analysis: </w:t>
          </w:r>
        </w:p>
        <w:p w14:paraId="41A061A4" w14:textId="324C9F0B" w:rsidR="00053302" w:rsidRDefault="00D37E43" w:rsidP="00053302">
          <w:pPr>
            <w:pStyle w:val="NormalWeb"/>
            <w:spacing w:line="360" w:lineRule="auto"/>
            <w:ind w:firstLine="720"/>
            <w:rPr>
              <w:rFonts w:ascii="TimesNewRomanPSMT" w:hAnsi="TimesNewRomanPSMT"/>
              <w:sz w:val="20"/>
              <w:szCs w:val="20"/>
            </w:rPr>
          </w:pPr>
          <w:r w:rsidRPr="00D37E43">
            <w:rPr>
              <w:rFonts w:ascii="TimesNewRomanPSMT" w:hAnsi="TimesNewRomanPSMT"/>
              <w:sz w:val="20"/>
              <w:szCs w:val="20"/>
            </w:rPr>
            <w:t xml:space="preserve">One of the first key metrics to observe </w:t>
          </w:r>
          <w:r>
            <w:rPr>
              <w:rFonts w:ascii="TimesNewRomanPSMT" w:hAnsi="TimesNewRomanPSMT"/>
              <w:sz w:val="20"/>
              <w:szCs w:val="20"/>
            </w:rPr>
            <w:t>when undertaking a performance appraisal of financial metrics is revenue growth. The raw data presented in the 10K filing conveys a</w:t>
          </w:r>
          <w:r w:rsidR="00630AFA">
            <w:rPr>
              <w:rFonts w:ascii="TimesNewRomanPSMT" w:hAnsi="TimesNewRomanPSMT"/>
              <w:sz w:val="20"/>
              <w:szCs w:val="20"/>
            </w:rPr>
            <w:t>n</w:t>
          </w:r>
          <w:r>
            <w:rPr>
              <w:rFonts w:ascii="TimesNewRomanPSMT" w:hAnsi="TimesNewRomanPSMT"/>
              <w:sz w:val="20"/>
              <w:szCs w:val="20"/>
            </w:rPr>
            <w:t xml:space="preserve"> average </w:t>
          </w:r>
          <w:r w:rsidR="00630AFA">
            <w:rPr>
              <w:rFonts w:ascii="TimesNewRomanPSMT" w:hAnsi="TimesNewRomanPSMT"/>
              <w:sz w:val="20"/>
              <w:szCs w:val="20"/>
            </w:rPr>
            <w:t xml:space="preserve">growth </w:t>
          </w:r>
          <w:r w:rsidR="0022041B">
            <w:rPr>
              <w:rFonts w:ascii="TimesNewRomanPSMT" w:hAnsi="TimesNewRomanPSMT"/>
              <w:sz w:val="20"/>
              <w:szCs w:val="20"/>
            </w:rPr>
            <w:t>in</w:t>
          </w:r>
          <w:r w:rsidR="00630AFA">
            <w:rPr>
              <w:rFonts w:ascii="TimesNewRomanPSMT" w:hAnsi="TimesNewRomanPSMT"/>
              <w:sz w:val="20"/>
              <w:szCs w:val="20"/>
            </w:rPr>
            <w:t xml:space="preserve"> revenue of 16% from 2019 to 2021. A closer inspection of each contributing sector</w:t>
          </w:r>
          <w:r w:rsidR="00B57CB7">
            <w:rPr>
              <w:rStyle w:val="EndnoteReference"/>
              <w:rFonts w:ascii="TimesNewRomanPSMT" w:hAnsi="TimesNewRomanPSMT"/>
              <w:sz w:val="20"/>
              <w:szCs w:val="20"/>
            </w:rPr>
            <w:endnoteReference w:id="1"/>
          </w:r>
          <w:r w:rsidR="00630AFA">
            <w:rPr>
              <w:rFonts w:ascii="TimesNewRomanPSMT" w:hAnsi="TimesNewRomanPSMT"/>
              <w:sz w:val="20"/>
              <w:szCs w:val="20"/>
            </w:rPr>
            <w:t xml:space="preserve"> illustrates the key drivers of year-on-year growth for MSFT, starting with Office products and Cloud Services accounting for nearly 30% of revenue in this period.</w:t>
          </w:r>
          <w:r w:rsidR="00153872">
            <w:rPr>
              <w:rFonts w:ascii="TimesNewRomanPSMT" w:hAnsi="TimesNewRomanPSMT"/>
              <w:sz w:val="20"/>
              <w:szCs w:val="20"/>
            </w:rPr>
            <w:t xml:space="preserve"> This was caused by growth</w:t>
          </w:r>
          <w:r w:rsidR="0022041B">
            <w:rPr>
              <w:rFonts w:ascii="TimesNewRomanPSMT" w:hAnsi="TimesNewRomanPSMT"/>
              <w:sz w:val="20"/>
              <w:szCs w:val="20"/>
            </w:rPr>
            <w:t xml:space="preserve"> in sales from Azure and Office 365 Commercial by 51% and 25% respectively.</w:t>
          </w:r>
          <w:r w:rsidR="00153872">
            <w:rPr>
              <w:rFonts w:ascii="TimesNewRomanPSMT" w:hAnsi="TimesNewRomanPSMT"/>
              <w:sz w:val="20"/>
              <w:szCs w:val="20"/>
            </w:rPr>
            <w:t xml:space="preserve"> </w:t>
          </w:r>
          <w:r w:rsidR="00AA77F9">
            <w:rPr>
              <w:rFonts w:ascii="TimesNewRomanPSMT" w:hAnsi="TimesNewRomanPSMT"/>
              <w:sz w:val="20"/>
              <w:szCs w:val="20"/>
            </w:rPr>
            <w:t>Although Gaming has contributed heavily</w:t>
          </w:r>
          <w:r w:rsidR="000D75DC">
            <w:rPr>
              <w:rStyle w:val="FootnoteReference"/>
              <w:rFonts w:ascii="TimesNewRomanPSMT" w:hAnsi="TimesNewRomanPSMT"/>
              <w:sz w:val="20"/>
              <w:szCs w:val="20"/>
            </w:rPr>
            <w:footnoteReference w:id="1"/>
          </w:r>
          <w:r w:rsidR="00AA77F9">
            <w:rPr>
              <w:rFonts w:ascii="TimesNewRomanPSMT" w:hAnsi="TimesNewRomanPSMT"/>
              <w:sz w:val="20"/>
              <w:szCs w:val="20"/>
            </w:rPr>
            <w:t>, Xbox content and services revenue has decreased by around 4% in the last quarter, despite large growth in previous quarters stemming from the success of the Flight Simulator release. However, it can be expected that gaming will increase again with the release of Halo Infinite and other games such as: Call of Duty: Vanguard, Battlefield 2042, and Back 4 Blood. The increase in Xbox live users will offset earlier losses in the year</w:t>
          </w:r>
          <w:r w:rsidR="0073125E">
            <w:rPr>
              <w:rFonts w:ascii="TimesNewRomanPSMT" w:hAnsi="TimesNewRomanPSMT"/>
              <w:sz w:val="20"/>
              <w:szCs w:val="20"/>
            </w:rPr>
            <w:t xml:space="preserve"> and the increased demand for </w:t>
          </w:r>
          <w:r w:rsidR="009F7FDE">
            <w:rPr>
              <w:rFonts w:ascii="TimesNewRomanPSMT" w:hAnsi="TimesNewRomanPSMT"/>
              <w:sz w:val="20"/>
              <w:szCs w:val="20"/>
            </w:rPr>
            <w:t>consoles (Hardware Revenue) will continue into the holiday season.</w:t>
          </w:r>
          <w:r w:rsidR="00053302">
            <w:rPr>
              <w:rStyle w:val="FootnoteReference"/>
              <w:rFonts w:ascii="TimesNewRomanPSMT" w:hAnsi="TimesNewRomanPSMT"/>
              <w:sz w:val="20"/>
              <w:szCs w:val="20"/>
            </w:rPr>
            <w:footnoteReference w:id="2"/>
          </w:r>
          <w:r w:rsidR="000D75DC">
            <w:rPr>
              <w:rFonts w:ascii="TimesNewRomanPSMT" w:hAnsi="TimesNewRomanPSMT"/>
              <w:sz w:val="20"/>
              <w:szCs w:val="20"/>
            </w:rPr>
            <w:t xml:space="preserve"> Another major driver of revenue growth was LinkedIn, accounting for nearly 10% of total Revenue on its’ own</w:t>
          </w:r>
          <w:r w:rsidR="00B57CB7">
            <w:rPr>
              <w:rStyle w:val="EndnoteReference"/>
              <w:rFonts w:ascii="TimesNewRomanPSMT" w:hAnsi="TimesNewRomanPSMT"/>
              <w:sz w:val="20"/>
              <w:szCs w:val="20"/>
            </w:rPr>
            <w:endnoteReference w:id="2"/>
          </w:r>
          <w:r w:rsidR="000D75DC">
            <w:rPr>
              <w:rFonts w:ascii="TimesNewRomanPSMT" w:hAnsi="TimesNewRomanPSMT"/>
              <w:sz w:val="20"/>
              <w:szCs w:val="20"/>
            </w:rPr>
            <w:t xml:space="preserve">. The acquisition of LinkedIn is turning into a profitable </w:t>
          </w:r>
          <w:r w:rsidR="001A587C">
            <w:rPr>
              <w:rFonts w:ascii="TimesNewRomanPSMT" w:hAnsi="TimesNewRomanPSMT"/>
              <w:sz w:val="20"/>
              <w:szCs w:val="20"/>
            </w:rPr>
            <w:t>investment</w:t>
          </w:r>
          <w:r w:rsidR="000D75DC">
            <w:rPr>
              <w:rFonts w:ascii="TimesNewRomanPSMT" w:hAnsi="TimesNewRomanPSMT"/>
              <w:sz w:val="20"/>
              <w:szCs w:val="20"/>
            </w:rPr>
            <w:t xml:space="preserve"> as it generated over </w:t>
          </w:r>
          <w:r w:rsidR="001A587C">
            <w:rPr>
              <w:rFonts w:ascii="TimesNewRomanPSMT" w:hAnsi="TimesNewRomanPSMT"/>
              <w:sz w:val="20"/>
              <w:szCs w:val="20"/>
            </w:rPr>
            <w:t>$10 billion in annual revenue for the first time, contrasting its poor returns prior to its’ acquisition in 2015.</w:t>
          </w:r>
          <w:r w:rsidR="00614C2D">
            <w:rPr>
              <w:rFonts w:ascii="TimesNewRomanPSMT" w:hAnsi="TimesNewRomanPSMT"/>
              <w:sz w:val="20"/>
              <w:szCs w:val="20"/>
            </w:rPr>
            <w:t xml:space="preserve"> </w:t>
          </w:r>
        </w:p>
        <w:p w14:paraId="6B9727A1" w14:textId="0D3A92A5" w:rsidR="00B92D18" w:rsidRPr="00DC6EE6" w:rsidRDefault="00053302" w:rsidP="00DC6EE6">
          <w:pPr>
            <w:pStyle w:val="NormalWeb"/>
            <w:spacing w:line="360" w:lineRule="auto"/>
            <w:ind w:firstLine="720"/>
            <w:rPr>
              <w:rFonts w:ascii="TimesNewRomanPSMT" w:hAnsi="TimesNewRomanPSMT"/>
              <w:sz w:val="20"/>
              <w:szCs w:val="20"/>
            </w:rPr>
          </w:pPr>
          <w:r>
            <w:rPr>
              <w:noProof/>
            </w:rPr>
            <w:drawing>
              <wp:anchor distT="0" distB="0" distL="114300" distR="114300" simplePos="0" relativeHeight="251666432" behindDoc="1" locked="0" layoutInCell="1" allowOverlap="1" wp14:anchorId="687A96FA" wp14:editId="3C6128CF">
                <wp:simplePos x="0" y="0"/>
                <wp:positionH relativeFrom="column">
                  <wp:posOffset>-166591</wp:posOffset>
                </wp:positionH>
                <wp:positionV relativeFrom="paragraph">
                  <wp:posOffset>873649</wp:posOffset>
                </wp:positionV>
                <wp:extent cx="4572000" cy="2743200"/>
                <wp:effectExtent l="0" t="0" r="12700" b="12700"/>
                <wp:wrapTight wrapText="bothSides">
                  <wp:wrapPolygon edited="0">
                    <wp:start x="0" y="0"/>
                    <wp:lineTo x="0" y="21600"/>
                    <wp:lineTo x="21600" y="21600"/>
                    <wp:lineTo x="21600" y="0"/>
                    <wp:lineTo x="0" y="0"/>
                  </wp:wrapPolygon>
                </wp:wrapTight>
                <wp:docPr id="8" name="Chart 8">
                  <a:extLst xmlns:a="http://schemas.openxmlformats.org/drawingml/2006/main">
                    <a:ext uri="{FF2B5EF4-FFF2-40B4-BE49-F238E27FC236}">
                      <a16:creationId xmlns:a16="http://schemas.microsoft.com/office/drawing/2014/main" id="{AD188AA1-E2C9-C145-84E6-931F3359C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A587C">
            <w:rPr>
              <w:rFonts w:ascii="TimesNewRomanPSMT" w:hAnsi="TimesNewRomanPSMT"/>
              <w:sz w:val="20"/>
              <w:szCs w:val="20"/>
            </w:rPr>
            <w:t>Based on the forecasts provided in the corresponding financial model, Revenue can be expected to grow by a moving average of 17%-20% from 2022 to 2024, in a best-case scenario. A worst-case scenario would see revenue grow by only 13% in that same period.</w:t>
          </w:r>
          <w:r w:rsidR="00B57CB7">
            <w:rPr>
              <w:rFonts w:ascii="TimesNewRomanPSMT" w:hAnsi="TimesNewRomanPSMT"/>
              <w:sz w:val="20"/>
              <w:szCs w:val="20"/>
            </w:rPr>
            <w:t xml:space="preserve"> Sectors like Windows have displayed subpar relative growth and sectors like Surface appear to be struggling with the global chip shortage, which may instigate a worst-case scenario</w:t>
          </w:r>
          <w:r w:rsidR="00F56828">
            <w:rPr>
              <w:rFonts w:ascii="TimesNewRomanPSMT" w:hAnsi="TimesNewRomanPSMT"/>
              <w:sz w:val="20"/>
              <w:szCs w:val="20"/>
            </w:rPr>
            <w:t xml:space="preserve">. However, it can </w:t>
          </w:r>
          <w:r w:rsidR="00B92D18">
            <w:rPr>
              <w:rFonts w:ascii="TimesNewRomanPSMT" w:hAnsi="TimesNewRomanPSMT"/>
              <w:sz w:val="20"/>
              <w:szCs w:val="20"/>
            </w:rPr>
            <w:t xml:space="preserve">be </w:t>
          </w:r>
          <w:r w:rsidR="00F56828">
            <w:rPr>
              <w:rFonts w:ascii="TimesNewRomanPSMT" w:hAnsi="TimesNewRomanPSMT"/>
              <w:sz w:val="20"/>
              <w:szCs w:val="20"/>
            </w:rPr>
            <w:t>expected that revenue growth will be closer to a base case given the large gains made by Cloud Services in recent quarters, should these other sectors continue to underperform.</w:t>
          </w:r>
          <w:r w:rsidR="00215BB9">
            <w:rPr>
              <w:rFonts w:ascii="TimesNewRomanPSMT" w:hAnsi="TimesNewRomanPSMT"/>
              <w:sz w:val="20"/>
              <w:szCs w:val="20"/>
            </w:rPr>
            <w:t xml:space="preserve"> It should be noted that Microsoft Cloud’s expansion into Asian markets indicate exponential growth given the </w:t>
          </w:r>
          <w:r w:rsidR="00EF34CD">
            <w:rPr>
              <w:rFonts w:ascii="TimesNewRomanPSMT" w:hAnsi="TimesNewRomanPSMT"/>
              <w:sz w:val="20"/>
              <w:szCs w:val="20"/>
            </w:rPr>
            <w:t>budding</w:t>
          </w:r>
          <w:r w:rsidR="00215BB9">
            <w:rPr>
              <w:rFonts w:ascii="TimesNewRomanPSMT" w:hAnsi="TimesNewRomanPSMT"/>
              <w:sz w:val="20"/>
              <w:szCs w:val="20"/>
            </w:rPr>
            <w:t xml:space="preserve"> scale of cloud infrastructure </w:t>
          </w:r>
          <w:r w:rsidR="00EF34CD">
            <w:rPr>
              <w:rFonts w:ascii="TimesNewRomanPSMT" w:hAnsi="TimesNewRomanPSMT"/>
              <w:sz w:val="20"/>
              <w:szCs w:val="20"/>
            </w:rPr>
            <w:t xml:space="preserve">and investments </w:t>
          </w:r>
          <w:r w:rsidR="00215BB9">
            <w:rPr>
              <w:rFonts w:ascii="TimesNewRomanPSMT" w:hAnsi="TimesNewRomanPSMT"/>
              <w:sz w:val="20"/>
              <w:szCs w:val="20"/>
            </w:rPr>
            <w:t xml:space="preserve">being </w:t>
          </w:r>
          <w:r w:rsidR="00EF34CD">
            <w:rPr>
              <w:rFonts w:ascii="TimesNewRomanPSMT" w:hAnsi="TimesNewRomanPSMT"/>
              <w:sz w:val="20"/>
              <w:szCs w:val="20"/>
            </w:rPr>
            <w:t>established</w:t>
          </w:r>
          <w:r w:rsidR="00215BB9">
            <w:rPr>
              <w:rFonts w:ascii="TimesNewRomanPSMT" w:hAnsi="TimesNewRomanPSMT"/>
              <w:sz w:val="20"/>
              <w:szCs w:val="20"/>
            </w:rPr>
            <w:t>.</w:t>
          </w:r>
        </w:p>
        <w:p w14:paraId="3B280954" w14:textId="544880CC" w:rsidR="00F56828" w:rsidRPr="008058C2" w:rsidRDefault="00B92D18" w:rsidP="00F56828">
          <w:pPr>
            <w:pStyle w:val="NormalWeb"/>
            <w:rPr>
              <w:rFonts w:ascii="TimesNewRomanPS" w:hAnsi="TimesNewRomanPS"/>
              <w:b/>
              <w:bCs/>
              <w:color w:val="002060"/>
            </w:rPr>
          </w:pPr>
          <w:r w:rsidRPr="008058C2">
            <w:rPr>
              <w:rFonts w:ascii="TimesNewRomanPS" w:hAnsi="TimesNewRomanPS"/>
              <w:b/>
              <w:bCs/>
              <w:color w:val="002060"/>
            </w:rPr>
            <w:lastRenderedPageBreak/>
            <w:t>Margins and Operating Profitability:</w:t>
          </w:r>
        </w:p>
        <w:p w14:paraId="68792B0A" w14:textId="6728E435" w:rsidR="00B92D18" w:rsidRDefault="00B92D18" w:rsidP="00215BB9">
          <w:pPr>
            <w:pStyle w:val="NormalWeb"/>
            <w:spacing w:line="360" w:lineRule="auto"/>
            <w:ind w:firstLine="720"/>
            <w:rPr>
              <w:rFonts w:ascii="TimesNewRomanPSMT" w:hAnsi="TimesNewRomanPSMT"/>
              <w:sz w:val="20"/>
              <w:szCs w:val="20"/>
            </w:rPr>
          </w:pPr>
          <w:r w:rsidRPr="00B92D18">
            <w:rPr>
              <w:rFonts w:ascii="TimesNewRomanPSMT" w:hAnsi="TimesNewRomanPSMT"/>
              <w:sz w:val="20"/>
              <w:szCs w:val="20"/>
            </w:rPr>
            <w:t>Moving on from the analysis of raw data,</w:t>
          </w:r>
          <w:r>
            <w:rPr>
              <w:rFonts w:ascii="TimesNewRomanPSMT" w:hAnsi="TimesNewRomanPSMT"/>
              <w:sz w:val="20"/>
              <w:szCs w:val="20"/>
            </w:rPr>
            <w:t xml:space="preserve"> the</w:t>
          </w:r>
          <w:r w:rsidR="008058C2">
            <w:rPr>
              <w:rFonts w:ascii="TimesNewRomanPSMT" w:hAnsi="TimesNewRomanPSMT"/>
              <w:sz w:val="20"/>
              <w:szCs w:val="20"/>
            </w:rPr>
            <w:t xml:space="preserve"> next set of financial metrics to be inspected are: Gross Margins, Operating Margins, Cost-Income Ratio, Asset Turnover, and ROCE. These metrics will help paint a better picture of the operating profitability and efficiency of MSFT.</w:t>
          </w:r>
        </w:p>
        <w:p w14:paraId="539C687A" w14:textId="1DBC336F" w:rsidR="00215BB9" w:rsidRDefault="00616081" w:rsidP="00215BB9">
          <w:pPr>
            <w:pStyle w:val="NormalWeb"/>
            <w:spacing w:line="360" w:lineRule="auto"/>
            <w:rPr>
              <w:rFonts w:ascii="TimesNewRomanPSMT" w:hAnsi="TimesNewRomanPSMT"/>
              <w:sz w:val="20"/>
              <w:szCs w:val="20"/>
            </w:rPr>
          </w:pPr>
          <w:r>
            <w:rPr>
              <w:rFonts w:ascii="TimesNewRomanPSMT" w:hAnsi="TimesNewRomanPSMT"/>
              <w:noProof/>
              <w:sz w:val="20"/>
              <w:szCs w:val="20"/>
            </w:rPr>
            <w:drawing>
              <wp:anchor distT="0" distB="0" distL="114300" distR="114300" simplePos="0" relativeHeight="251667456" behindDoc="1" locked="0" layoutInCell="1" allowOverlap="1" wp14:anchorId="5A8751B1" wp14:editId="05CA5E12">
                <wp:simplePos x="0" y="0"/>
                <wp:positionH relativeFrom="column">
                  <wp:posOffset>428818</wp:posOffset>
                </wp:positionH>
                <wp:positionV relativeFrom="paragraph">
                  <wp:posOffset>2151849</wp:posOffset>
                </wp:positionV>
                <wp:extent cx="4652645" cy="3084830"/>
                <wp:effectExtent l="0" t="0" r="0" b="1270"/>
                <wp:wrapTight wrapText="bothSides">
                  <wp:wrapPolygon edited="0">
                    <wp:start x="0" y="0"/>
                    <wp:lineTo x="0" y="21520"/>
                    <wp:lineTo x="21520" y="21520"/>
                    <wp:lineTo x="21520" y="0"/>
                    <wp:lineTo x="0" y="0"/>
                  </wp:wrapPolygon>
                </wp:wrapTight>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52645" cy="3084830"/>
                        </a:xfrm>
                        <a:prstGeom prst="rect">
                          <a:avLst/>
                        </a:prstGeom>
                      </pic:spPr>
                    </pic:pic>
                  </a:graphicData>
                </a:graphic>
                <wp14:sizeRelH relativeFrom="page">
                  <wp14:pctWidth>0</wp14:pctWidth>
                </wp14:sizeRelH>
                <wp14:sizeRelV relativeFrom="page">
                  <wp14:pctHeight>0</wp14:pctHeight>
                </wp14:sizeRelV>
              </wp:anchor>
            </w:drawing>
          </w:r>
          <w:r w:rsidR="00215BB9" w:rsidRPr="00215BB9">
            <w:rPr>
              <w:rFonts w:ascii="TimesNewRomanPSMT" w:hAnsi="TimesNewRomanPSMT"/>
              <w:b/>
              <w:bCs/>
              <w:color w:val="002060"/>
              <w:sz w:val="21"/>
              <w:szCs w:val="21"/>
            </w:rPr>
            <w:t xml:space="preserve"> </w:t>
          </w:r>
          <w:r w:rsidR="00215BB9">
            <w:rPr>
              <w:rFonts w:ascii="TimesNewRomanPSMT" w:hAnsi="TimesNewRomanPSMT"/>
              <w:b/>
              <w:bCs/>
              <w:color w:val="002060"/>
              <w:sz w:val="21"/>
              <w:szCs w:val="21"/>
            </w:rPr>
            <w:t>Gross Margin</w:t>
          </w:r>
          <w:r w:rsidR="00215BB9" w:rsidRPr="00215BB9">
            <w:rPr>
              <w:rFonts w:ascii="TimesNewRomanPSMT" w:hAnsi="TimesNewRomanPSMT"/>
              <w:b/>
              <w:bCs/>
              <w:color w:val="002060"/>
              <w:sz w:val="21"/>
              <w:szCs w:val="21"/>
            </w:rPr>
            <w:t xml:space="preserve">: </w:t>
          </w:r>
          <w:r w:rsidR="00215BB9" w:rsidRPr="00F35848">
            <w:rPr>
              <w:rFonts w:ascii="TimesNewRomanPSMT" w:hAnsi="TimesNewRomanPSMT"/>
              <w:sz w:val="20"/>
              <w:szCs w:val="20"/>
            </w:rPr>
            <w:t xml:space="preserve">The average gross margin from 2019-2021 was 68%, indicating a highly effective </w:t>
          </w:r>
          <w:r w:rsidR="00A0207F">
            <w:rPr>
              <w:rFonts w:ascii="TimesNewRomanPSMT" w:hAnsi="TimesNewRomanPSMT"/>
              <w:sz w:val="20"/>
              <w:szCs w:val="20"/>
            </w:rPr>
            <w:t>conversion</w:t>
          </w:r>
          <w:r w:rsidR="00215BB9" w:rsidRPr="00F35848">
            <w:rPr>
              <w:rFonts w:ascii="TimesNewRomanPSMT" w:hAnsi="TimesNewRomanPSMT"/>
              <w:sz w:val="20"/>
              <w:szCs w:val="20"/>
            </w:rPr>
            <w:t xml:space="preserve"> of revenue to Gross Profit. Additionally, </w:t>
          </w:r>
          <w:r w:rsidR="00A0207F">
            <w:rPr>
              <w:rFonts w:ascii="TimesNewRomanPSMT" w:hAnsi="TimesNewRomanPSMT"/>
              <w:sz w:val="20"/>
              <w:szCs w:val="20"/>
            </w:rPr>
            <w:t>this margin grew</w:t>
          </w:r>
          <w:r w:rsidR="00215BB9" w:rsidRPr="00F35848">
            <w:rPr>
              <w:rFonts w:ascii="TimesNewRomanPSMT" w:hAnsi="TimesNewRomanPSMT"/>
              <w:sz w:val="20"/>
              <w:szCs w:val="20"/>
            </w:rPr>
            <w:t xml:space="preserve"> roughly 2.3%, from 2019, which suggests that gross profit margins are widening.</w:t>
          </w:r>
          <w:r w:rsidR="00F35848">
            <w:rPr>
              <w:rFonts w:ascii="TimesNewRomanPSMT" w:hAnsi="TimesNewRomanPSMT"/>
              <w:sz w:val="20"/>
              <w:szCs w:val="20"/>
            </w:rPr>
            <w:t xml:space="preserve"> In comparison to competitors such as Apple (43%) or even Amazon (40%), Microsoft is well ahead in relative performance. This was driven strictly by the increase in revenue from factors previously discussed. </w:t>
          </w:r>
          <w:r w:rsidR="00437EBA">
            <w:rPr>
              <w:rFonts w:ascii="TimesNewRomanPSMT" w:hAnsi="TimesNewRomanPSMT"/>
              <w:sz w:val="20"/>
              <w:szCs w:val="20"/>
            </w:rPr>
            <w:t xml:space="preserve">While </w:t>
          </w:r>
          <w:r>
            <w:rPr>
              <w:rFonts w:ascii="TimesNewRomanPSMT" w:hAnsi="TimesNewRomanPSMT"/>
              <w:sz w:val="20"/>
              <w:szCs w:val="20"/>
            </w:rPr>
            <w:t>r</w:t>
          </w:r>
          <w:r w:rsidR="00437EBA">
            <w:rPr>
              <w:rFonts w:ascii="TimesNewRomanPSMT" w:hAnsi="TimesNewRomanPSMT"/>
              <w:sz w:val="20"/>
              <w:szCs w:val="20"/>
            </w:rPr>
            <w:t>evenue grew by 17.5% from the previous year, t</w:t>
          </w:r>
          <w:r w:rsidR="00F35848">
            <w:rPr>
              <w:rFonts w:ascii="TimesNewRomanPSMT" w:hAnsi="TimesNewRomanPSMT"/>
              <w:sz w:val="20"/>
              <w:szCs w:val="20"/>
            </w:rPr>
            <w:t xml:space="preserve">he </w:t>
          </w:r>
          <w:r>
            <w:rPr>
              <w:rFonts w:ascii="TimesNewRomanPSMT" w:hAnsi="TimesNewRomanPSMT"/>
              <w:sz w:val="20"/>
              <w:szCs w:val="20"/>
            </w:rPr>
            <w:t>c</w:t>
          </w:r>
          <w:r w:rsidR="00F35848">
            <w:rPr>
              <w:rFonts w:ascii="TimesNewRomanPSMT" w:hAnsi="TimesNewRomanPSMT"/>
              <w:sz w:val="20"/>
              <w:szCs w:val="20"/>
            </w:rPr>
            <w:t xml:space="preserve">ost of </w:t>
          </w:r>
          <w:r>
            <w:rPr>
              <w:rFonts w:ascii="TimesNewRomanPSMT" w:hAnsi="TimesNewRomanPSMT"/>
              <w:sz w:val="20"/>
              <w:szCs w:val="20"/>
            </w:rPr>
            <w:t>g</w:t>
          </w:r>
          <w:r w:rsidR="00F35848">
            <w:rPr>
              <w:rFonts w:ascii="TimesNewRomanPSMT" w:hAnsi="TimesNewRomanPSMT"/>
              <w:sz w:val="20"/>
              <w:szCs w:val="20"/>
            </w:rPr>
            <w:t xml:space="preserve">oods </w:t>
          </w:r>
          <w:r>
            <w:rPr>
              <w:rFonts w:ascii="TimesNewRomanPSMT" w:hAnsi="TimesNewRomanPSMT"/>
              <w:sz w:val="20"/>
              <w:szCs w:val="20"/>
            </w:rPr>
            <w:t>s</w:t>
          </w:r>
          <w:r w:rsidR="00F35848">
            <w:rPr>
              <w:rFonts w:ascii="TimesNewRomanPSMT" w:hAnsi="TimesNewRomanPSMT"/>
              <w:sz w:val="20"/>
              <w:szCs w:val="20"/>
            </w:rPr>
            <w:t xml:space="preserve">old has </w:t>
          </w:r>
          <w:r w:rsidR="00437EBA">
            <w:rPr>
              <w:rFonts w:ascii="TimesNewRomanPSMT" w:hAnsi="TimesNewRomanPSMT"/>
              <w:sz w:val="20"/>
              <w:szCs w:val="20"/>
            </w:rPr>
            <w:t xml:space="preserve">also </w:t>
          </w:r>
          <w:r w:rsidR="00F35848">
            <w:rPr>
              <w:rFonts w:ascii="TimesNewRomanPSMT" w:hAnsi="TimesNewRomanPSMT"/>
              <w:sz w:val="20"/>
              <w:szCs w:val="20"/>
            </w:rPr>
            <w:t xml:space="preserve">increased </w:t>
          </w:r>
          <w:r w:rsidR="00614C2D">
            <w:rPr>
              <w:rFonts w:ascii="TimesNewRomanPSMT" w:hAnsi="TimesNewRomanPSMT"/>
              <w:sz w:val="20"/>
              <w:szCs w:val="20"/>
            </w:rPr>
            <w:t>by roughly 13.5%</w:t>
          </w:r>
          <w:r w:rsidR="00437EBA">
            <w:rPr>
              <w:rFonts w:ascii="TimesNewRomanPSMT" w:hAnsi="TimesNewRomanPSMT"/>
              <w:sz w:val="20"/>
              <w:szCs w:val="20"/>
            </w:rPr>
            <w:t xml:space="preserve">, </w:t>
          </w:r>
          <w:r w:rsidR="00614C2D">
            <w:rPr>
              <w:rFonts w:ascii="TimesNewRomanPSMT" w:hAnsi="TimesNewRomanPSMT"/>
              <w:sz w:val="20"/>
              <w:szCs w:val="20"/>
            </w:rPr>
            <w:t xml:space="preserve">seemingly from sectors that suffered </w:t>
          </w:r>
          <w:proofErr w:type="gramStart"/>
          <w:r w:rsidR="00614C2D">
            <w:rPr>
              <w:rFonts w:ascii="TimesNewRomanPSMT" w:hAnsi="TimesNewRomanPSMT"/>
              <w:sz w:val="20"/>
              <w:szCs w:val="20"/>
            </w:rPr>
            <w:t>as a result of</w:t>
          </w:r>
          <w:proofErr w:type="gramEnd"/>
          <w:r w:rsidR="00614C2D">
            <w:rPr>
              <w:rFonts w:ascii="TimesNewRomanPSMT" w:hAnsi="TimesNewRomanPSMT"/>
              <w:sz w:val="20"/>
              <w:szCs w:val="20"/>
            </w:rPr>
            <w:t xml:space="preserve"> </w:t>
          </w:r>
          <w:r w:rsidR="00373441">
            <w:rPr>
              <w:rFonts w:ascii="TimesNewRomanPSMT" w:hAnsi="TimesNewRomanPSMT"/>
              <w:sz w:val="20"/>
              <w:szCs w:val="20"/>
            </w:rPr>
            <w:t>inflation</w:t>
          </w:r>
          <w:r w:rsidR="00614C2D">
            <w:rPr>
              <w:rFonts w:ascii="TimesNewRomanPSMT" w:hAnsi="TimesNewRomanPSMT"/>
              <w:sz w:val="20"/>
              <w:szCs w:val="20"/>
            </w:rPr>
            <w:t xml:space="preserve"> or the current chip shortage</w:t>
          </w:r>
          <w:r w:rsidR="00053302">
            <w:rPr>
              <w:rFonts w:ascii="TimesNewRomanPSMT" w:hAnsi="TimesNewRomanPSMT"/>
              <w:sz w:val="20"/>
              <w:szCs w:val="20"/>
            </w:rPr>
            <w:t xml:space="preserve">. </w:t>
          </w:r>
          <w:r w:rsidR="00437EBA">
            <w:rPr>
              <w:rFonts w:ascii="TimesNewRomanPSMT" w:hAnsi="TimesNewRomanPSMT"/>
              <w:sz w:val="20"/>
              <w:szCs w:val="20"/>
            </w:rPr>
            <w:t>Additionally, incr</w:t>
          </w:r>
          <w:r w:rsidR="00053302">
            <w:rPr>
              <w:rFonts w:ascii="TimesNewRomanPSMT" w:hAnsi="TimesNewRomanPSMT"/>
              <w:sz w:val="20"/>
              <w:szCs w:val="20"/>
            </w:rPr>
            <w:t>easing</w:t>
          </w:r>
          <w:r w:rsidR="008A3387" w:rsidRPr="008A3387">
            <w:rPr>
              <w:rFonts w:ascii="TimesNewRomanPSMT" w:hAnsi="TimesNewRomanPSMT"/>
              <w:sz w:val="20"/>
              <w:szCs w:val="20"/>
            </w:rPr>
            <w:t xml:space="preserve"> </w:t>
          </w:r>
          <w:r w:rsidR="008A3387">
            <w:rPr>
              <w:rFonts w:ascii="TimesNewRomanPSMT" w:hAnsi="TimesNewRomanPSMT"/>
              <w:sz w:val="20"/>
              <w:szCs w:val="20"/>
            </w:rPr>
            <w:t>the</w:t>
          </w:r>
          <w:r w:rsidR="00053302">
            <w:rPr>
              <w:rFonts w:ascii="TimesNewRomanPSMT" w:hAnsi="TimesNewRomanPSMT"/>
              <w:sz w:val="20"/>
              <w:szCs w:val="20"/>
            </w:rPr>
            <w:t xml:space="preserve"> scale of operations in white space markets may account for</w:t>
          </w:r>
          <w:r w:rsidR="00437EBA">
            <w:rPr>
              <w:rFonts w:ascii="TimesNewRomanPSMT" w:hAnsi="TimesNewRomanPSMT"/>
              <w:sz w:val="20"/>
              <w:szCs w:val="20"/>
            </w:rPr>
            <w:t xml:space="preserve"> a large portion of this proliferation. Although,</w:t>
          </w:r>
          <w:r w:rsidR="008A3387">
            <w:rPr>
              <w:rFonts w:ascii="TimesNewRomanPSMT" w:hAnsi="TimesNewRomanPSMT"/>
              <w:sz w:val="20"/>
              <w:szCs w:val="20"/>
            </w:rPr>
            <w:t xml:space="preserve"> the chip shortage is expected to </w:t>
          </w:r>
          <w:r>
            <w:rPr>
              <w:rFonts w:ascii="TimesNewRomanPSMT" w:hAnsi="TimesNewRomanPSMT"/>
              <w:sz w:val="20"/>
              <w:szCs w:val="20"/>
            </w:rPr>
            <w:t xml:space="preserve">ameliorate </w:t>
          </w:r>
          <w:r w:rsidR="008A3387">
            <w:rPr>
              <w:rFonts w:ascii="TimesNewRomanPSMT" w:hAnsi="TimesNewRomanPSMT"/>
              <w:sz w:val="20"/>
              <w:szCs w:val="20"/>
            </w:rPr>
            <w:t>by early to mid 202</w:t>
          </w:r>
          <w:r>
            <w:rPr>
              <w:rFonts w:ascii="TimesNewRomanPSMT" w:hAnsi="TimesNewRomanPSMT"/>
              <w:sz w:val="20"/>
              <w:szCs w:val="20"/>
            </w:rPr>
            <w:t>2, it can be anticipated that COGS will continue to increase for most hardware-based revenue streams utilizing semiconductors</w:t>
          </w:r>
          <w:r w:rsidR="00B13A3D">
            <w:rPr>
              <w:rFonts w:ascii="TimesNewRomanPSMT" w:hAnsi="TimesNewRomanPSMT"/>
              <w:sz w:val="20"/>
              <w:szCs w:val="20"/>
            </w:rPr>
            <w:t>, resulting in narrower gross margins from these sectors</w:t>
          </w:r>
          <w:r w:rsidR="00373441">
            <w:rPr>
              <w:rFonts w:ascii="TimesNewRomanPSMT" w:hAnsi="TimesNewRomanPSMT"/>
              <w:sz w:val="20"/>
              <w:szCs w:val="20"/>
            </w:rPr>
            <w:t>.</w:t>
          </w:r>
        </w:p>
        <w:p w14:paraId="3C5E6615" w14:textId="2397F57D" w:rsidR="00A70710" w:rsidRDefault="00A70710" w:rsidP="00215BB9">
          <w:pPr>
            <w:pStyle w:val="NormalWeb"/>
            <w:spacing w:line="360" w:lineRule="auto"/>
            <w:rPr>
              <w:rFonts w:ascii="TimesNewRomanPSMT" w:hAnsi="TimesNewRomanPSMT"/>
              <w:b/>
              <w:bCs/>
              <w:color w:val="002060"/>
              <w:sz w:val="21"/>
              <w:szCs w:val="21"/>
            </w:rPr>
          </w:pPr>
        </w:p>
        <w:p w14:paraId="4F3B59CE" w14:textId="77777777" w:rsidR="004D5CA0" w:rsidRDefault="004D5CA0" w:rsidP="00E70CBC">
          <w:pPr>
            <w:pStyle w:val="NormalWeb"/>
            <w:spacing w:line="360" w:lineRule="auto"/>
            <w:rPr>
              <w:rFonts w:ascii="TimesNewRomanPSMT" w:hAnsi="TimesNewRomanPSMT"/>
              <w:b/>
              <w:bCs/>
              <w:color w:val="002060"/>
              <w:sz w:val="21"/>
              <w:szCs w:val="21"/>
            </w:rPr>
          </w:pPr>
        </w:p>
        <w:p w14:paraId="64365C90" w14:textId="77777777" w:rsidR="004D5CA0" w:rsidRDefault="004D5CA0" w:rsidP="00E70CBC">
          <w:pPr>
            <w:pStyle w:val="NormalWeb"/>
            <w:spacing w:line="360" w:lineRule="auto"/>
            <w:rPr>
              <w:rFonts w:ascii="TimesNewRomanPSMT" w:hAnsi="TimesNewRomanPSMT"/>
              <w:b/>
              <w:bCs/>
              <w:color w:val="002060"/>
              <w:sz w:val="21"/>
              <w:szCs w:val="21"/>
            </w:rPr>
          </w:pPr>
        </w:p>
        <w:p w14:paraId="08887013" w14:textId="77777777" w:rsidR="004D5CA0" w:rsidRDefault="004D5CA0" w:rsidP="00E70CBC">
          <w:pPr>
            <w:pStyle w:val="NormalWeb"/>
            <w:spacing w:line="360" w:lineRule="auto"/>
            <w:rPr>
              <w:rFonts w:ascii="TimesNewRomanPSMT" w:hAnsi="TimesNewRomanPSMT"/>
              <w:b/>
              <w:bCs/>
              <w:color w:val="002060"/>
              <w:sz w:val="21"/>
              <w:szCs w:val="21"/>
            </w:rPr>
          </w:pPr>
        </w:p>
        <w:p w14:paraId="3D9278D0" w14:textId="77777777" w:rsidR="004D5CA0" w:rsidRDefault="004D5CA0" w:rsidP="00E70CBC">
          <w:pPr>
            <w:pStyle w:val="NormalWeb"/>
            <w:spacing w:line="360" w:lineRule="auto"/>
            <w:rPr>
              <w:rFonts w:ascii="TimesNewRomanPSMT" w:hAnsi="TimesNewRomanPSMT"/>
              <w:b/>
              <w:bCs/>
              <w:color w:val="002060"/>
              <w:sz w:val="21"/>
              <w:szCs w:val="21"/>
            </w:rPr>
          </w:pPr>
        </w:p>
        <w:p w14:paraId="070E3778" w14:textId="77777777" w:rsidR="004D5CA0" w:rsidRDefault="004D5CA0" w:rsidP="00E70CBC">
          <w:pPr>
            <w:pStyle w:val="NormalWeb"/>
            <w:spacing w:line="360" w:lineRule="auto"/>
            <w:rPr>
              <w:rFonts w:ascii="TimesNewRomanPSMT" w:hAnsi="TimesNewRomanPSMT"/>
              <w:b/>
              <w:bCs/>
              <w:color w:val="002060"/>
              <w:sz w:val="21"/>
              <w:szCs w:val="21"/>
            </w:rPr>
          </w:pPr>
        </w:p>
        <w:p w14:paraId="17EFE3D0" w14:textId="77777777" w:rsidR="004D5CA0" w:rsidRDefault="004D5CA0" w:rsidP="00E70CBC">
          <w:pPr>
            <w:pStyle w:val="NormalWeb"/>
            <w:spacing w:line="360" w:lineRule="auto"/>
            <w:rPr>
              <w:rFonts w:ascii="TimesNewRomanPSMT" w:hAnsi="TimesNewRomanPSMT"/>
              <w:b/>
              <w:bCs/>
              <w:color w:val="002060"/>
              <w:sz w:val="21"/>
              <w:szCs w:val="21"/>
            </w:rPr>
          </w:pPr>
        </w:p>
        <w:p w14:paraId="3232DEBD" w14:textId="7982719F" w:rsidR="00E70CBC" w:rsidRDefault="00E70CBC" w:rsidP="00E70CBC">
          <w:pPr>
            <w:pStyle w:val="NormalWeb"/>
            <w:spacing w:line="360" w:lineRule="auto"/>
            <w:rPr>
              <w:rFonts w:ascii="TimesNewRomanPSMT" w:hAnsi="TimesNewRomanPSMT"/>
              <w:sz w:val="20"/>
              <w:szCs w:val="20"/>
            </w:rPr>
          </w:pPr>
          <w:r>
            <w:rPr>
              <w:rFonts w:ascii="TimesNewRomanPSMT" w:hAnsi="TimesNewRomanPSMT"/>
              <w:b/>
              <w:bCs/>
              <w:color w:val="002060"/>
              <w:sz w:val="21"/>
              <w:szCs w:val="21"/>
            </w:rPr>
            <w:t>Cost-Income</w:t>
          </w:r>
          <w:r>
            <w:rPr>
              <w:rFonts w:ascii="TimesNewRomanPSMT" w:hAnsi="TimesNewRomanPSMT"/>
              <w:b/>
              <w:bCs/>
              <w:color w:val="002060"/>
              <w:sz w:val="21"/>
              <w:szCs w:val="21"/>
            </w:rPr>
            <w:t xml:space="preserve"> </w:t>
          </w:r>
          <w:r>
            <w:rPr>
              <w:rFonts w:ascii="TimesNewRomanPSMT" w:hAnsi="TimesNewRomanPSMT"/>
              <w:b/>
              <w:bCs/>
              <w:color w:val="002060"/>
              <w:sz w:val="21"/>
              <w:szCs w:val="21"/>
            </w:rPr>
            <w:t>Ratio</w:t>
          </w:r>
          <w:r w:rsidRPr="00215BB9">
            <w:rPr>
              <w:rFonts w:ascii="TimesNewRomanPSMT" w:hAnsi="TimesNewRomanPSMT"/>
              <w:b/>
              <w:bCs/>
              <w:color w:val="002060"/>
              <w:sz w:val="21"/>
              <w:szCs w:val="21"/>
            </w:rPr>
            <w:t>:</w:t>
          </w:r>
          <w:r w:rsidR="00A70710">
            <w:rPr>
              <w:rFonts w:ascii="TimesNewRomanPSMT" w:hAnsi="TimesNewRomanPSMT"/>
              <w:b/>
              <w:bCs/>
              <w:color w:val="002060"/>
              <w:sz w:val="21"/>
              <w:szCs w:val="21"/>
            </w:rPr>
            <w:t xml:space="preserve"> </w:t>
          </w:r>
          <w:r w:rsidR="00A70710">
            <w:rPr>
              <w:rFonts w:ascii="TimesNewRomanPSMT" w:hAnsi="TimesNewRomanPSMT"/>
              <w:sz w:val="20"/>
              <w:szCs w:val="20"/>
            </w:rPr>
            <w:t>From 2019 to 2021, the Cost-Income Ratio has decreased significantly (by nearly 5.3%), which indicates that the company’s operating expenses are absorbing less of its’ profits and generating higher gross margins.</w:t>
          </w:r>
          <w:r w:rsidR="004E5064">
            <w:rPr>
              <w:rFonts w:ascii="TimesNewRomanPSMT" w:hAnsi="TimesNewRomanPSMT"/>
              <w:sz w:val="20"/>
              <w:szCs w:val="20"/>
            </w:rPr>
            <w:t xml:space="preserve"> </w:t>
          </w:r>
          <w:r w:rsidR="004D5CA0">
            <w:rPr>
              <w:rFonts w:ascii="TimesNewRomanPSMT" w:hAnsi="TimesNewRomanPSMT"/>
              <w:sz w:val="20"/>
              <w:szCs w:val="20"/>
            </w:rPr>
            <w:t xml:space="preserve">This is despite </w:t>
          </w:r>
          <w:r w:rsidR="0021237B">
            <w:rPr>
              <w:rFonts w:ascii="TimesNewRomanPSMT" w:hAnsi="TimesNewRomanPSMT"/>
              <w:sz w:val="20"/>
              <w:szCs w:val="20"/>
            </w:rPr>
            <w:t>considerable</w:t>
          </w:r>
          <w:r w:rsidR="004E5064">
            <w:rPr>
              <w:rFonts w:ascii="TimesNewRomanPSMT" w:hAnsi="TimesNewRomanPSMT"/>
              <w:sz w:val="20"/>
              <w:szCs w:val="20"/>
            </w:rPr>
            <w:t xml:space="preserve"> increases in </w:t>
          </w:r>
          <w:proofErr w:type="spellStart"/>
          <w:r w:rsidR="004E5064">
            <w:rPr>
              <w:rFonts w:ascii="TimesNewRomanPSMT" w:hAnsi="TimesNewRomanPSMT"/>
              <w:sz w:val="20"/>
              <w:szCs w:val="20"/>
            </w:rPr>
            <w:t>Opex</w:t>
          </w:r>
          <w:proofErr w:type="spellEnd"/>
          <w:r w:rsidR="004E5064">
            <w:rPr>
              <w:rFonts w:ascii="TimesNewRomanPSMT" w:hAnsi="TimesNewRomanPSMT"/>
              <w:sz w:val="20"/>
              <w:szCs w:val="20"/>
            </w:rPr>
            <w:t>, stemming from larger expenditures in R&amp;D</w:t>
          </w:r>
          <w:r w:rsidR="004D5CA0">
            <w:rPr>
              <w:rFonts w:ascii="TimesNewRomanPSMT" w:hAnsi="TimesNewRomanPSMT"/>
              <w:sz w:val="20"/>
              <w:szCs w:val="20"/>
            </w:rPr>
            <w:t xml:space="preserve"> as well as sales &amp; marketing</w:t>
          </w:r>
          <w:r w:rsidR="0021237B">
            <w:rPr>
              <w:rFonts w:ascii="TimesNewRomanPSMT" w:hAnsi="TimesNewRomanPSMT"/>
              <w:sz w:val="20"/>
              <w:szCs w:val="20"/>
            </w:rPr>
            <w:t>. This is a positive indicator as general and administrative costs decreased from 2020, suggesting higher efficiency in operations and more effective allocation of budgets towards growth and innovation.</w:t>
          </w:r>
        </w:p>
        <w:p w14:paraId="1C4DC6BE" w14:textId="34C2EE71" w:rsidR="00BD62BF" w:rsidRPr="00CC2CE3" w:rsidRDefault="00BD62BF" w:rsidP="00E70CBC">
          <w:pPr>
            <w:pStyle w:val="NormalWeb"/>
            <w:spacing w:line="360" w:lineRule="auto"/>
            <w:rPr>
              <w:rFonts w:ascii="TimesNewRomanPSMT" w:hAnsi="TimesNewRomanPSMT"/>
              <w:sz w:val="20"/>
              <w:szCs w:val="20"/>
            </w:rPr>
          </w:pPr>
          <w:r>
            <w:rPr>
              <w:rFonts w:ascii="TimesNewRomanPSMT" w:hAnsi="TimesNewRomanPSMT"/>
              <w:b/>
              <w:bCs/>
              <w:color w:val="002060"/>
              <w:sz w:val="21"/>
              <w:szCs w:val="21"/>
            </w:rPr>
            <w:t>Operating Margin</w:t>
          </w:r>
          <w:r w:rsidRPr="00215BB9">
            <w:rPr>
              <w:rFonts w:ascii="TimesNewRomanPSMT" w:hAnsi="TimesNewRomanPSMT"/>
              <w:b/>
              <w:bCs/>
              <w:color w:val="002060"/>
              <w:sz w:val="21"/>
              <w:szCs w:val="21"/>
            </w:rPr>
            <w:t>:</w:t>
          </w:r>
          <w:r>
            <w:rPr>
              <w:rFonts w:ascii="TimesNewRomanPSMT" w:hAnsi="TimesNewRomanPSMT"/>
              <w:b/>
              <w:bCs/>
              <w:color w:val="002060"/>
              <w:sz w:val="21"/>
              <w:szCs w:val="21"/>
            </w:rPr>
            <w:t xml:space="preserve"> </w:t>
          </w:r>
          <w:r>
            <w:rPr>
              <w:rFonts w:ascii="TimesNewRomanPSMT" w:hAnsi="TimesNewRomanPSMT"/>
              <w:sz w:val="20"/>
              <w:szCs w:val="20"/>
            </w:rPr>
            <w:t xml:space="preserve">The operating margin </w:t>
          </w:r>
          <w:r>
            <w:rPr>
              <w:rFonts w:ascii="TimesNewRomanPSMT" w:hAnsi="TimesNewRomanPSMT"/>
              <w:sz w:val="20"/>
              <w:szCs w:val="20"/>
            </w:rPr>
            <w:t xml:space="preserve">confirms the general trend of Microsoft’s other profitability ratios, in that they have improved </w:t>
          </w:r>
          <w:r w:rsidR="00CF3878">
            <w:rPr>
              <w:rFonts w:ascii="TimesNewRomanPSMT" w:hAnsi="TimesNewRomanPSMT"/>
              <w:sz w:val="20"/>
              <w:szCs w:val="20"/>
            </w:rPr>
            <w:t xml:space="preserve">management of </w:t>
          </w:r>
          <w:proofErr w:type="spellStart"/>
          <w:r w:rsidR="00CF3878">
            <w:rPr>
              <w:rFonts w:ascii="TimesNewRomanPSMT" w:hAnsi="TimesNewRomanPSMT"/>
              <w:sz w:val="20"/>
              <w:szCs w:val="20"/>
            </w:rPr>
            <w:t>Opex</w:t>
          </w:r>
          <w:proofErr w:type="spellEnd"/>
          <w:r w:rsidR="00CF3878">
            <w:rPr>
              <w:rFonts w:ascii="TimesNewRomanPSMT" w:hAnsi="TimesNewRomanPSMT"/>
              <w:sz w:val="20"/>
              <w:szCs w:val="20"/>
            </w:rPr>
            <w:t xml:space="preserve"> while simultaneously </w:t>
          </w:r>
          <w:r w:rsidR="009A4F79">
            <w:rPr>
              <w:rFonts w:ascii="TimesNewRomanPSMT" w:hAnsi="TimesNewRomanPSMT"/>
              <w:sz w:val="20"/>
              <w:szCs w:val="20"/>
            </w:rPr>
            <w:t xml:space="preserve">increasing Asset Turnover. What can be expected is a </w:t>
          </w:r>
          <w:r w:rsidR="00B97392">
            <w:rPr>
              <w:rFonts w:ascii="TimesNewRomanPSMT" w:hAnsi="TimesNewRomanPSMT"/>
              <w:sz w:val="20"/>
              <w:szCs w:val="20"/>
            </w:rPr>
            <w:t>general increase in ROCE which will be discussed further. The operating margin increased at a higher rate than the gross margin as the CIR decreased significantly, which is another positive indicator cost-</w:t>
          </w:r>
          <w:r w:rsidR="00B97392">
            <w:rPr>
              <w:rFonts w:ascii="TimesNewRomanPSMT" w:hAnsi="TimesNewRomanPSMT"/>
              <w:sz w:val="20"/>
              <w:szCs w:val="20"/>
            </w:rPr>
            <w:lastRenderedPageBreak/>
            <w:t xml:space="preserve">efficiency. </w:t>
          </w:r>
          <w:r w:rsidR="002733CE">
            <w:rPr>
              <w:rFonts w:ascii="TimesNewRomanPSMT" w:hAnsi="TimesNewRomanPSMT"/>
              <w:sz w:val="20"/>
              <w:szCs w:val="20"/>
            </w:rPr>
            <w:t>This</w:t>
          </w:r>
          <w:r w:rsidR="00247057">
            <w:rPr>
              <w:rFonts w:ascii="TimesNewRomanPSMT" w:hAnsi="TimesNewRomanPSMT"/>
              <w:sz w:val="20"/>
              <w:szCs w:val="20"/>
            </w:rPr>
            <w:t xml:space="preserve"> can be further observed in the financial model through the calculations of DSO, DPO, and DIO. </w:t>
          </w:r>
          <w:r w:rsidR="00B97392">
            <w:rPr>
              <w:rFonts w:ascii="TimesNewRomanPSMT" w:hAnsi="TimesNewRomanPSMT"/>
              <w:sz w:val="20"/>
              <w:szCs w:val="20"/>
            </w:rPr>
            <w:t>As per relative valuations, Microsoft has a significantly higher Operating Margin than the industry average reported by Reuters. Microsoft is currently generating an operating margin of 44% while the industry average was reported to be around 17%, and the average of tech stocks within the S&amp;P500 are currently only generating around 24%.</w:t>
          </w:r>
        </w:p>
        <w:p w14:paraId="68574DB4" w14:textId="15BA9DF1" w:rsidR="00E70CBC" w:rsidRDefault="003614CA" w:rsidP="00E70CBC">
          <w:pPr>
            <w:pStyle w:val="NormalWeb"/>
            <w:spacing w:line="360" w:lineRule="auto"/>
            <w:rPr>
              <w:rFonts w:ascii="TimesNewRomanPSMT" w:hAnsi="TimesNewRomanPSMT"/>
              <w:b/>
              <w:bCs/>
              <w:color w:val="002060"/>
              <w:sz w:val="21"/>
              <w:szCs w:val="21"/>
            </w:rPr>
          </w:pPr>
          <w:r>
            <w:rPr>
              <w:noProof/>
            </w:rPr>
            <w:drawing>
              <wp:anchor distT="0" distB="0" distL="114300" distR="114300" simplePos="0" relativeHeight="251668480" behindDoc="1" locked="0" layoutInCell="1" allowOverlap="1" wp14:anchorId="006EBE21" wp14:editId="231D537B">
                <wp:simplePos x="0" y="0"/>
                <wp:positionH relativeFrom="column">
                  <wp:posOffset>7620</wp:posOffset>
                </wp:positionH>
                <wp:positionV relativeFrom="paragraph">
                  <wp:posOffset>1103436</wp:posOffset>
                </wp:positionV>
                <wp:extent cx="3402965" cy="1757045"/>
                <wp:effectExtent l="0" t="0" r="13335" b="8255"/>
                <wp:wrapTight wrapText="bothSides">
                  <wp:wrapPolygon edited="0">
                    <wp:start x="0" y="0"/>
                    <wp:lineTo x="0" y="21545"/>
                    <wp:lineTo x="21604" y="21545"/>
                    <wp:lineTo x="21604" y="0"/>
                    <wp:lineTo x="0" y="0"/>
                  </wp:wrapPolygon>
                </wp:wrapTight>
                <wp:docPr id="14" name="Chart 14">
                  <a:extLst xmlns:a="http://schemas.openxmlformats.org/drawingml/2006/main">
                    <a:ext uri="{FF2B5EF4-FFF2-40B4-BE49-F238E27FC236}">
                      <a16:creationId xmlns:a16="http://schemas.microsoft.com/office/drawing/2014/main" id="{6EB8861A-A3A7-2242-81A9-4CFE5D85E3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E70CBC">
            <w:rPr>
              <w:rFonts w:ascii="TimesNewRomanPSMT" w:hAnsi="TimesNewRomanPSMT"/>
              <w:b/>
              <w:bCs/>
              <w:color w:val="002060"/>
              <w:sz w:val="21"/>
              <w:szCs w:val="21"/>
            </w:rPr>
            <w:t>Asset Turnover:</w:t>
          </w:r>
          <w:r w:rsidR="00B97392">
            <w:rPr>
              <w:rFonts w:ascii="TimesNewRomanPSMT" w:hAnsi="TimesNewRomanPSMT"/>
              <w:b/>
              <w:bCs/>
              <w:color w:val="002060"/>
              <w:sz w:val="21"/>
              <w:szCs w:val="21"/>
            </w:rPr>
            <w:t xml:space="preserve"> </w:t>
          </w:r>
          <w:r w:rsidR="0006790C">
            <w:rPr>
              <w:rFonts w:ascii="TimesNewRomanPSMT" w:hAnsi="TimesNewRomanPSMT"/>
              <w:sz w:val="20"/>
              <w:szCs w:val="20"/>
            </w:rPr>
            <w:t xml:space="preserve">Asset Turnover grew exponentially from 2020 to 2021 and appears to have greatly impacted the growth of ROCE within that period. The growth in Asset Turnover appears to have had a larger influence on ROCE growth than the change in Operating Margins, particularly Non-Current Asset Turnover. The </w:t>
          </w:r>
          <w:r>
            <w:rPr>
              <w:rFonts w:ascii="TimesNewRomanPSMT" w:hAnsi="TimesNewRomanPSMT"/>
              <w:sz w:val="20"/>
              <w:szCs w:val="20"/>
            </w:rPr>
            <w:t xml:space="preserve">tension </w:t>
          </w:r>
          <w:r w:rsidR="0006790C">
            <w:rPr>
              <w:rFonts w:ascii="TimesNewRomanPSMT" w:hAnsi="TimesNewRomanPSMT"/>
              <w:sz w:val="20"/>
              <w:szCs w:val="20"/>
            </w:rPr>
            <w:t xml:space="preserve">between Asset Turnover and Operating Margins within the context of Microsoft’s ROCE appears to be </w:t>
          </w:r>
          <w:r>
            <w:rPr>
              <w:rFonts w:ascii="TimesNewRomanPSMT" w:hAnsi="TimesNewRomanPSMT"/>
              <w:sz w:val="20"/>
              <w:szCs w:val="20"/>
            </w:rPr>
            <w:t xml:space="preserve">due to their steady pricing model which has not changed for over a decade until the recent announcement taking effect in March of next year. This ‘tension’ is due to elastic changes in demand as sales is not a constant figure, indicating that pricing must also change </w:t>
          </w:r>
          <w:proofErr w:type="gramStart"/>
          <w:r>
            <w:rPr>
              <w:rFonts w:ascii="TimesNewRomanPSMT" w:hAnsi="TimesNewRomanPSMT"/>
              <w:sz w:val="20"/>
              <w:szCs w:val="20"/>
            </w:rPr>
            <w:t>in order for</w:t>
          </w:r>
          <w:proofErr w:type="gramEnd"/>
          <w:r>
            <w:rPr>
              <w:rFonts w:ascii="TimesNewRomanPSMT" w:hAnsi="TimesNewRomanPSMT"/>
              <w:sz w:val="20"/>
              <w:szCs w:val="20"/>
            </w:rPr>
            <w:t xml:space="preserve"> operating margins to increase at a similar rate. </w:t>
          </w:r>
        </w:p>
        <w:p w14:paraId="55080EF7" w14:textId="1EA727AE" w:rsidR="00601C61" w:rsidRDefault="00601C61" w:rsidP="00E70CBC">
          <w:pPr>
            <w:pStyle w:val="NormalWeb"/>
            <w:spacing w:line="360" w:lineRule="auto"/>
            <w:rPr>
              <w:rFonts w:ascii="TimesNewRomanPSMT" w:hAnsi="TimesNewRomanPSMT"/>
              <w:b/>
              <w:bCs/>
              <w:color w:val="002060"/>
              <w:sz w:val="21"/>
              <w:szCs w:val="21"/>
            </w:rPr>
          </w:pPr>
        </w:p>
        <w:p w14:paraId="69989911" w14:textId="77777777" w:rsidR="0006790C" w:rsidRDefault="0006790C" w:rsidP="00E70CBC">
          <w:pPr>
            <w:pStyle w:val="NormalWeb"/>
            <w:spacing w:line="360" w:lineRule="auto"/>
            <w:rPr>
              <w:rFonts w:ascii="TimesNewRomanPSMT" w:hAnsi="TimesNewRomanPSMT"/>
              <w:b/>
              <w:bCs/>
              <w:color w:val="002060"/>
              <w:sz w:val="21"/>
              <w:szCs w:val="21"/>
            </w:rPr>
          </w:pPr>
        </w:p>
        <w:p w14:paraId="2EBCAED6" w14:textId="6724B24C" w:rsidR="00E70CBC" w:rsidRDefault="00CC2CE3" w:rsidP="00E70CBC">
          <w:pPr>
            <w:pStyle w:val="NormalWeb"/>
            <w:spacing w:line="360" w:lineRule="auto"/>
            <w:rPr>
              <w:rFonts w:ascii="TimesNewRomanPSMT" w:hAnsi="TimesNewRomanPSMT"/>
              <w:b/>
              <w:bCs/>
              <w:color w:val="002060"/>
              <w:sz w:val="21"/>
              <w:szCs w:val="21"/>
            </w:rPr>
          </w:pPr>
          <w:r>
            <w:rPr>
              <w:noProof/>
            </w:rPr>
            <w:drawing>
              <wp:anchor distT="0" distB="0" distL="114300" distR="114300" simplePos="0" relativeHeight="251669504" behindDoc="1" locked="0" layoutInCell="1" allowOverlap="1" wp14:anchorId="259F16C2" wp14:editId="0D26C341">
                <wp:simplePos x="0" y="0"/>
                <wp:positionH relativeFrom="column">
                  <wp:posOffset>8255</wp:posOffset>
                </wp:positionH>
                <wp:positionV relativeFrom="paragraph">
                  <wp:posOffset>452010</wp:posOffset>
                </wp:positionV>
                <wp:extent cx="3490623" cy="1892410"/>
                <wp:effectExtent l="0" t="0" r="14605" b="12700"/>
                <wp:wrapTight wrapText="bothSides">
                  <wp:wrapPolygon edited="0">
                    <wp:start x="0" y="0"/>
                    <wp:lineTo x="0" y="21600"/>
                    <wp:lineTo x="21612" y="21600"/>
                    <wp:lineTo x="21612" y="0"/>
                    <wp:lineTo x="0" y="0"/>
                  </wp:wrapPolygon>
                </wp:wrapTight>
                <wp:docPr id="15" name="Chart 15">
                  <a:extLst xmlns:a="http://schemas.openxmlformats.org/drawingml/2006/main">
                    <a:ext uri="{FF2B5EF4-FFF2-40B4-BE49-F238E27FC236}">
                      <a16:creationId xmlns:a16="http://schemas.microsoft.com/office/drawing/2014/main" id="{5AB26620-4B60-9E44-B813-1B92E70485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E70CBC">
            <w:rPr>
              <w:rFonts w:ascii="TimesNewRomanPSMT" w:hAnsi="TimesNewRomanPSMT"/>
              <w:b/>
              <w:bCs/>
              <w:color w:val="002060"/>
              <w:sz w:val="21"/>
              <w:szCs w:val="21"/>
            </w:rPr>
            <w:t>ROCE:</w:t>
          </w:r>
          <w:r w:rsidR="003614CA">
            <w:rPr>
              <w:rFonts w:ascii="TimesNewRomanPSMT" w:hAnsi="TimesNewRomanPSMT"/>
              <w:b/>
              <w:bCs/>
              <w:color w:val="002060"/>
              <w:sz w:val="21"/>
              <w:szCs w:val="21"/>
            </w:rPr>
            <w:t xml:space="preserve"> </w:t>
          </w:r>
          <w:r w:rsidR="005B12EF">
            <w:rPr>
              <w:rFonts w:ascii="TimesNewRomanPSMT" w:hAnsi="TimesNewRomanPSMT"/>
              <w:sz w:val="20"/>
              <w:szCs w:val="20"/>
            </w:rPr>
            <w:t>Microsoft has increased their Capital Employed by roughly 13% from 2019 to 2021, and correspondingly their ROCE has also increased by around 9% in that same time frame. This is a positive indication about the profit generating capability of the company to its’ shareholders, which has been reflected its’ share price</w:t>
          </w:r>
          <w:r w:rsidR="005B12EF">
            <w:rPr>
              <w:rStyle w:val="FootnoteReference"/>
              <w:rFonts w:ascii="TimesNewRomanPSMT" w:hAnsi="TimesNewRomanPSMT"/>
              <w:sz w:val="20"/>
              <w:szCs w:val="20"/>
            </w:rPr>
            <w:footnoteReference w:id="3"/>
          </w:r>
          <w:r w:rsidR="005B12EF">
            <w:rPr>
              <w:rFonts w:ascii="TimesNewRomanPSMT" w:hAnsi="TimesNewRomanPSMT"/>
              <w:sz w:val="20"/>
              <w:szCs w:val="20"/>
            </w:rPr>
            <w:t xml:space="preserve">. It can be interpreted that Microsoft is increasing their scale of operations and that they will continue to increase their Net-Working Capital, and </w:t>
          </w:r>
          <w:proofErr w:type="gramStart"/>
          <w:r w:rsidR="005B12EF">
            <w:rPr>
              <w:rFonts w:ascii="TimesNewRomanPSMT" w:hAnsi="TimesNewRomanPSMT"/>
              <w:sz w:val="20"/>
              <w:szCs w:val="20"/>
            </w:rPr>
            <w:t>as a result of</w:t>
          </w:r>
          <w:proofErr w:type="gramEnd"/>
          <w:r w:rsidR="005B12EF">
            <w:rPr>
              <w:rFonts w:ascii="TimesNewRomanPSMT" w:hAnsi="TimesNewRomanPSMT"/>
              <w:sz w:val="20"/>
              <w:szCs w:val="20"/>
            </w:rPr>
            <w:t xml:space="preserve"> their effective ROCE</w:t>
          </w:r>
          <w:r>
            <w:rPr>
              <w:rFonts w:ascii="TimesNewRomanPSMT" w:hAnsi="TimesNewRomanPSMT"/>
              <w:sz w:val="20"/>
              <w:szCs w:val="20"/>
            </w:rPr>
            <w:t xml:space="preserve">-greater revenue can be expected. In relation to other </w:t>
          </w:r>
          <w:r w:rsidR="00AA719E">
            <w:rPr>
              <w:rFonts w:ascii="TimesNewRomanPSMT" w:hAnsi="TimesNewRomanPSMT"/>
              <w:sz w:val="20"/>
              <w:szCs w:val="20"/>
            </w:rPr>
            <w:t>similar</w:t>
          </w:r>
          <w:r>
            <w:rPr>
              <w:rFonts w:ascii="TimesNewRomanPSMT" w:hAnsi="TimesNewRomanPSMT"/>
              <w:sz w:val="20"/>
              <w:szCs w:val="20"/>
            </w:rPr>
            <w:t xml:space="preserve"> tech stocks, Microsoft has a lower ROCE than Apple </w:t>
          </w:r>
          <w:r w:rsidR="00AA719E">
            <w:rPr>
              <w:rFonts w:ascii="TimesNewRomanPSMT" w:hAnsi="TimesNewRomanPSMT"/>
              <w:sz w:val="20"/>
              <w:szCs w:val="20"/>
            </w:rPr>
            <w:t xml:space="preserve">(44%) but much higher than Amazon (12%)- and is outperforming the industry average of roughly 10%. </w:t>
          </w:r>
        </w:p>
        <w:p w14:paraId="5BB494FF" w14:textId="77777777" w:rsidR="00AA719E" w:rsidRDefault="00AA719E" w:rsidP="00AA719E">
          <w:pPr>
            <w:pStyle w:val="NormalWeb"/>
            <w:rPr>
              <w:rFonts w:ascii="TimesNewRomanPS" w:hAnsi="TimesNewRomanPS"/>
              <w:b/>
              <w:bCs/>
              <w:color w:val="002060"/>
              <w:sz w:val="28"/>
              <w:szCs w:val="28"/>
            </w:rPr>
          </w:pPr>
        </w:p>
        <w:p w14:paraId="6FA3BC62" w14:textId="1984B636" w:rsidR="00AA719E" w:rsidRDefault="00AA719E" w:rsidP="00AA719E">
          <w:pPr>
            <w:pStyle w:val="NormalWeb"/>
            <w:rPr>
              <w:rFonts w:ascii="TimesNewRomanPS" w:hAnsi="TimesNewRomanPS"/>
              <w:b/>
              <w:bCs/>
              <w:color w:val="002060"/>
              <w:sz w:val="28"/>
              <w:szCs w:val="28"/>
            </w:rPr>
          </w:pPr>
          <w:r w:rsidRPr="007C7322">
            <w:rPr>
              <w:rFonts w:ascii="TimesNewRomanPS" w:hAnsi="TimesNewRomanPS"/>
              <w:b/>
              <w:bCs/>
              <w:color w:val="002060"/>
              <w:sz w:val="28"/>
              <w:szCs w:val="28"/>
            </w:rPr>
            <w:lastRenderedPageBreak/>
            <w:t>Returns to Owners:</w:t>
          </w:r>
        </w:p>
        <w:p w14:paraId="134EEE57" w14:textId="7B45BAD9" w:rsidR="00AA719E" w:rsidRDefault="00AA719E" w:rsidP="00AA719E">
          <w:pPr>
            <w:pStyle w:val="NormalWeb"/>
            <w:spacing w:line="360" w:lineRule="auto"/>
            <w:ind w:firstLine="720"/>
            <w:rPr>
              <w:rFonts w:ascii="TimesNewRomanPS" w:hAnsi="TimesNewRomanPS"/>
              <w:b/>
              <w:bCs/>
              <w:color w:val="002060"/>
              <w:sz w:val="28"/>
              <w:szCs w:val="28"/>
            </w:rPr>
          </w:pPr>
          <w:r>
            <w:rPr>
              <w:rFonts w:ascii="TimesNewRomanPSMT" w:hAnsi="TimesNewRomanPSMT"/>
              <w:sz w:val="20"/>
              <w:szCs w:val="20"/>
            </w:rPr>
            <w:t xml:space="preserve"> After examining multiple profitability ratios, the next step is to examine operating performance </w:t>
          </w:r>
          <w:r w:rsidR="0037168C">
            <w:rPr>
              <w:rFonts w:ascii="TimesNewRomanPSMT" w:hAnsi="TimesNewRomanPSMT"/>
              <w:sz w:val="20"/>
              <w:szCs w:val="20"/>
            </w:rPr>
            <w:t>regarding</w:t>
          </w:r>
          <w:r w:rsidR="00DC6EE6">
            <w:rPr>
              <w:rFonts w:ascii="TimesNewRomanPSMT" w:hAnsi="TimesNewRomanPSMT"/>
              <w:sz w:val="20"/>
              <w:szCs w:val="20"/>
            </w:rPr>
            <w:t xml:space="preserve"> </w:t>
          </w:r>
          <w:r>
            <w:rPr>
              <w:rFonts w:ascii="TimesNewRomanPSMT" w:hAnsi="TimesNewRomanPSMT"/>
              <w:sz w:val="20"/>
              <w:szCs w:val="20"/>
            </w:rPr>
            <w:t>the company’s financial leveraging and what investors can expect based on their performance.</w:t>
          </w:r>
        </w:p>
        <w:p w14:paraId="4F8B18D2" w14:textId="0177CA18" w:rsidR="00AA719E" w:rsidRPr="007C7322" w:rsidRDefault="008954E3" w:rsidP="00AA719E">
          <w:pPr>
            <w:pStyle w:val="NormalWeb"/>
            <w:rPr>
              <w:rFonts w:ascii="TimesNewRomanPS" w:hAnsi="TimesNewRomanPS"/>
              <w:b/>
              <w:bCs/>
              <w:color w:val="002060"/>
              <w:sz w:val="28"/>
              <w:szCs w:val="28"/>
            </w:rPr>
          </w:pPr>
          <w:r>
            <w:rPr>
              <w:rFonts w:ascii="TimesNewRomanPS" w:hAnsi="TimesNewRomanPS"/>
              <w:b/>
              <w:bCs/>
              <w:noProof/>
              <w:color w:val="002060"/>
              <w:sz w:val="28"/>
              <w:szCs w:val="28"/>
            </w:rPr>
            <w:drawing>
              <wp:anchor distT="0" distB="0" distL="114300" distR="114300" simplePos="0" relativeHeight="251670528" behindDoc="1" locked="0" layoutInCell="1" allowOverlap="1" wp14:anchorId="6B90BCBA" wp14:editId="5CF5302E">
                <wp:simplePos x="0" y="0"/>
                <wp:positionH relativeFrom="column">
                  <wp:posOffset>0</wp:posOffset>
                </wp:positionH>
                <wp:positionV relativeFrom="paragraph">
                  <wp:posOffset>3810</wp:posOffset>
                </wp:positionV>
                <wp:extent cx="5003800" cy="3048000"/>
                <wp:effectExtent l="0" t="0" r="0" b="0"/>
                <wp:wrapTight wrapText="bothSides">
                  <wp:wrapPolygon edited="0">
                    <wp:start x="0" y="0"/>
                    <wp:lineTo x="0" y="21510"/>
                    <wp:lineTo x="21545" y="21510"/>
                    <wp:lineTo x="21545" y="0"/>
                    <wp:lineTo x="0" y="0"/>
                  </wp:wrapPolygon>
                </wp:wrapTight>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3800" cy="3048000"/>
                        </a:xfrm>
                        <a:prstGeom prst="rect">
                          <a:avLst/>
                        </a:prstGeom>
                      </pic:spPr>
                    </pic:pic>
                  </a:graphicData>
                </a:graphic>
                <wp14:sizeRelH relativeFrom="page">
                  <wp14:pctWidth>0</wp14:pctWidth>
                </wp14:sizeRelH>
                <wp14:sizeRelV relativeFrom="page">
                  <wp14:pctHeight>0</wp14:pctHeight>
                </wp14:sizeRelV>
              </wp:anchor>
            </w:drawing>
          </w:r>
        </w:p>
        <w:p w14:paraId="32D60D7B" w14:textId="77777777" w:rsidR="008954E3" w:rsidRDefault="008954E3" w:rsidP="002733CE">
          <w:pPr>
            <w:pStyle w:val="NormalWeb"/>
            <w:spacing w:line="360" w:lineRule="auto"/>
            <w:rPr>
              <w:rFonts w:ascii="TimesNewRomanPSMT" w:hAnsi="TimesNewRomanPSMT"/>
              <w:b/>
              <w:bCs/>
              <w:color w:val="002060"/>
              <w:sz w:val="21"/>
              <w:szCs w:val="21"/>
            </w:rPr>
          </w:pPr>
        </w:p>
        <w:p w14:paraId="3A53B757" w14:textId="77777777" w:rsidR="008954E3" w:rsidRDefault="008954E3" w:rsidP="002733CE">
          <w:pPr>
            <w:pStyle w:val="NormalWeb"/>
            <w:spacing w:line="360" w:lineRule="auto"/>
            <w:rPr>
              <w:rFonts w:ascii="TimesNewRomanPSMT" w:hAnsi="TimesNewRomanPSMT"/>
              <w:b/>
              <w:bCs/>
              <w:color w:val="002060"/>
              <w:sz w:val="21"/>
              <w:szCs w:val="21"/>
            </w:rPr>
          </w:pPr>
        </w:p>
        <w:p w14:paraId="6F0A01B4" w14:textId="77777777" w:rsidR="008954E3" w:rsidRDefault="008954E3" w:rsidP="002733CE">
          <w:pPr>
            <w:pStyle w:val="NormalWeb"/>
            <w:spacing w:line="360" w:lineRule="auto"/>
            <w:rPr>
              <w:rFonts w:ascii="TimesNewRomanPSMT" w:hAnsi="TimesNewRomanPSMT"/>
              <w:b/>
              <w:bCs/>
              <w:color w:val="002060"/>
              <w:sz w:val="21"/>
              <w:szCs w:val="21"/>
            </w:rPr>
          </w:pPr>
        </w:p>
        <w:p w14:paraId="358AB5BF" w14:textId="77777777" w:rsidR="008954E3" w:rsidRDefault="008954E3" w:rsidP="002733CE">
          <w:pPr>
            <w:pStyle w:val="NormalWeb"/>
            <w:spacing w:line="360" w:lineRule="auto"/>
            <w:rPr>
              <w:rFonts w:ascii="TimesNewRomanPSMT" w:hAnsi="TimesNewRomanPSMT"/>
              <w:b/>
              <w:bCs/>
              <w:color w:val="002060"/>
              <w:sz w:val="21"/>
              <w:szCs w:val="21"/>
            </w:rPr>
          </w:pPr>
        </w:p>
        <w:p w14:paraId="1C246613" w14:textId="77777777" w:rsidR="008954E3" w:rsidRDefault="008954E3" w:rsidP="002733CE">
          <w:pPr>
            <w:pStyle w:val="NormalWeb"/>
            <w:spacing w:line="360" w:lineRule="auto"/>
            <w:rPr>
              <w:rFonts w:ascii="TimesNewRomanPSMT" w:hAnsi="TimesNewRomanPSMT"/>
              <w:b/>
              <w:bCs/>
              <w:color w:val="002060"/>
              <w:sz w:val="21"/>
              <w:szCs w:val="21"/>
            </w:rPr>
          </w:pPr>
        </w:p>
        <w:p w14:paraId="529EB390" w14:textId="77777777" w:rsidR="008954E3" w:rsidRDefault="008954E3" w:rsidP="002733CE">
          <w:pPr>
            <w:pStyle w:val="NormalWeb"/>
            <w:spacing w:line="360" w:lineRule="auto"/>
            <w:rPr>
              <w:rFonts w:ascii="TimesNewRomanPSMT" w:hAnsi="TimesNewRomanPSMT"/>
              <w:b/>
              <w:bCs/>
              <w:color w:val="002060"/>
              <w:sz w:val="21"/>
              <w:szCs w:val="21"/>
            </w:rPr>
          </w:pPr>
        </w:p>
        <w:p w14:paraId="28486F3D" w14:textId="77777777" w:rsidR="008954E3" w:rsidRDefault="008954E3" w:rsidP="002733CE">
          <w:pPr>
            <w:pStyle w:val="NormalWeb"/>
            <w:spacing w:line="360" w:lineRule="auto"/>
            <w:rPr>
              <w:rFonts w:ascii="TimesNewRomanPSMT" w:hAnsi="TimesNewRomanPSMT"/>
              <w:b/>
              <w:bCs/>
              <w:color w:val="002060"/>
              <w:sz w:val="21"/>
              <w:szCs w:val="21"/>
            </w:rPr>
          </w:pPr>
        </w:p>
        <w:p w14:paraId="31A81EAE" w14:textId="2788164D" w:rsidR="002733CE" w:rsidRDefault="002733CE" w:rsidP="002733CE">
          <w:pPr>
            <w:pStyle w:val="NormalWeb"/>
            <w:spacing w:line="360" w:lineRule="auto"/>
            <w:rPr>
              <w:rFonts w:ascii="TimesNewRomanPSMT" w:hAnsi="TimesNewRomanPSMT"/>
              <w:b/>
              <w:bCs/>
              <w:color w:val="002060"/>
              <w:sz w:val="21"/>
              <w:szCs w:val="21"/>
            </w:rPr>
          </w:pPr>
          <w:r>
            <w:rPr>
              <w:rFonts w:ascii="TimesNewRomanPSMT" w:hAnsi="TimesNewRomanPSMT"/>
              <w:b/>
              <w:bCs/>
              <w:color w:val="002060"/>
              <w:sz w:val="21"/>
              <w:szCs w:val="21"/>
            </w:rPr>
            <w:t>Net Profit Margin</w:t>
          </w:r>
          <w:r>
            <w:rPr>
              <w:rFonts w:ascii="TimesNewRomanPSMT" w:hAnsi="TimesNewRomanPSMT"/>
              <w:b/>
              <w:bCs/>
              <w:color w:val="002060"/>
              <w:sz w:val="21"/>
              <w:szCs w:val="21"/>
            </w:rPr>
            <w:t>:</w:t>
          </w:r>
          <w:r w:rsidR="00DC6EE6">
            <w:rPr>
              <w:rFonts w:ascii="TimesNewRomanPSMT" w:hAnsi="TimesNewRomanPSMT"/>
              <w:b/>
              <w:bCs/>
              <w:color w:val="002060"/>
              <w:sz w:val="21"/>
              <w:szCs w:val="21"/>
            </w:rPr>
            <w:t xml:space="preserve"> </w:t>
          </w:r>
          <w:r w:rsidR="00DC6EE6">
            <w:rPr>
              <w:rFonts w:ascii="TimesNewRomanPSMT" w:hAnsi="TimesNewRomanPSMT"/>
              <w:sz w:val="20"/>
              <w:szCs w:val="20"/>
            </w:rPr>
            <w:t>The Net Profit Margin has increased from 2019 to 2021</w:t>
          </w:r>
          <w:r w:rsidR="008954E3">
            <w:rPr>
              <w:rFonts w:ascii="TimesNewRomanPSMT" w:hAnsi="TimesNewRomanPSMT"/>
              <w:sz w:val="20"/>
              <w:szCs w:val="20"/>
            </w:rPr>
            <w:t xml:space="preserve"> by roughly 5%</w:t>
          </w:r>
          <w:r w:rsidR="0037168C">
            <w:rPr>
              <w:rFonts w:ascii="TimesNewRomanPSMT" w:hAnsi="TimesNewRomanPSMT"/>
              <w:sz w:val="20"/>
              <w:szCs w:val="20"/>
            </w:rPr>
            <w:t xml:space="preserve"> while Net Income increased by 56% in the same </w:t>
          </w:r>
          <w:proofErr w:type="gramStart"/>
          <w:r w:rsidR="0037168C">
            <w:rPr>
              <w:rFonts w:ascii="TimesNewRomanPSMT" w:hAnsi="TimesNewRomanPSMT"/>
              <w:sz w:val="20"/>
              <w:szCs w:val="20"/>
            </w:rPr>
            <w:t>period of time</w:t>
          </w:r>
          <w:proofErr w:type="gramEnd"/>
          <w:r w:rsidR="0037168C">
            <w:rPr>
              <w:rFonts w:ascii="TimesNewRomanPSMT" w:hAnsi="TimesNewRomanPSMT"/>
              <w:sz w:val="20"/>
              <w:szCs w:val="20"/>
            </w:rPr>
            <w:t xml:space="preserve">. </w:t>
          </w:r>
          <w:r w:rsidR="0001631E">
            <w:rPr>
              <w:rFonts w:ascii="TimesNewRomanPSMT" w:hAnsi="TimesNewRomanPSMT"/>
              <w:sz w:val="20"/>
              <w:szCs w:val="20"/>
            </w:rPr>
            <w:t>Given the 27% pay-out ratio in the current fiscal year, this is highly encouraging for potential and current shareholders. These profits are being reinvested in capital expenditures in the form of PP&amp;E- namely through global expansion for data centres in Asia. This should boost its</w:t>
          </w:r>
          <w:r w:rsidR="0081429A">
            <w:rPr>
              <w:rFonts w:ascii="TimesNewRomanPSMT" w:hAnsi="TimesNewRomanPSMT"/>
              <w:sz w:val="20"/>
              <w:szCs w:val="20"/>
            </w:rPr>
            <w:t xml:space="preserve"> highest earning sector (Cloud servers) exponentially in coming years. In relative terms, Microsoft is outperforming the industry average of 11.15% TTM.</w:t>
          </w:r>
          <w:r w:rsidR="0081429A">
            <w:rPr>
              <w:rStyle w:val="FootnoteReference"/>
              <w:rFonts w:ascii="TimesNewRomanPSMT" w:hAnsi="TimesNewRomanPSMT"/>
              <w:sz w:val="20"/>
              <w:szCs w:val="20"/>
            </w:rPr>
            <w:footnoteReference w:id="4"/>
          </w:r>
        </w:p>
        <w:p w14:paraId="74C1BEAC" w14:textId="14851931" w:rsidR="002733CE" w:rsidRDefault="002733CE" w:rsidP="002733CE">
          <w:pPr>
            <w:pStyle w:val="NormalWeb"/>
            <w:spacing w:line="360" w:lineRule="auto"/>
            <w:rPr>
              <w:rFonts w:ascii="TimesNewRomanPSMT" w:hAnsi="TimesNewRomanPSMT"/>
              <w:b/>
              <w:bCs/>
              <w:color w:val="002060"/>
              <w:sz w:val="21"/>
              <w:szCs w:val="21"/>
            </w:rPr>
          </w:pPr>
          <w:r>
            <w:rPr>
              <w:rFonts w:ascii="TimesNewRomanPSMT" w:hAnsi="TimesNewRomanPSMT"/>
              <w:b/>
              <w:bCs/>
              <w:color w:val="002060"/>
              <w:sz w:val="21"/>
              <w:szCs w:val="21"/>
            </w:rPr>
            <w:t>Financial Leverage Multiplier:</w:t>
          </w:r>
          <w:r w:rsidR="0081429A" w:rsidRPr="0081429A">
            <w:rPr>
              <w:rFonts w:ascii="TimesNewRomanPSMT" w:hAnsi="TimesNewRomanPSMT"/>
              <w:sz w:val="20"/>
              <w:szCs w:val="20"/>
            </w:rPr>
            <w:t xml:space="preserve"> </w:t>
          </w:r>
          <w:r w:rsidR="0081429A">
            <w:rPr>
              <w:rFonts w:ascii="TimesNewRomanPSMT" w:hAnsi="TimesNewRomanPSMT"/>
              <w:sz w:val="20"/>
              <w:szCs w:val="20"/>
            </w:rPr>
            <w:t xml:space="preserve">The Financial Leverage Ratio indicates that MSFT has increased the weightage of Equity in Capital Employed </w:t>
          </w:r>
          <w:r w:rsidR="00535ED2">
            <w:rPr>
              <w:rFonts w:ascii="TimesNewRomanPSMT" w:hAnsi="TimesNewRomanPSMT"/>
              <w:sz w:val="20"/>
              <w:szCs w:val="20"/>
            </w:rPr>
            <w:t xml:space="preserve">while simultaneously decreasing the weightage of non-current liabilities. This indicates lower risk and is on par with the increase in the interest coverage ratio. The current gearing structure would suggest a lower Weighted Average Cost of Capital and would be highly useful in discounting cash flows for capital </w:t>
          </w:r>
          <w:bookmarkStart w:id="0" w:name="OLE_LINK1"/>
          <w:r w:rsidR="00535ED2">
            <w:rPr>
              <w:rFonts w:ascii="TimesNewRomanPSMT" w:hAnsi="TimesNewRomanPSMT"/>
              <w:sz w:val="20"/>
              <w:szCs w:val="20"/>
            </w:rPr>
            <w:t>budgeting p</w:t>
          </w:r>
          <w:bookmarkEnd w:id="0"/>
          <w:r w:rsidR="00535ED2">
            <w:rPr>
              <w:rFonts w:ascii="TimesNewRomanPSMT" w:hAnsi="TimesNewRomanPSMT"/>
              <w:sz w:val="20"/>
              <w:szCs w:val="20"/>
            </w:rPr>
            <w:t xml:space="preserve">urposes. </w:t>
          </w:r>
        </w:p>
        <w:p w14:paraId="49EF9106" w14:textId="2DB0DBA5" w:rsidR="002733CE" w:rsidRDefault="00535ED2" w:rsidP="002733CE">
          <w:pPr>
            <w:pStyle w:val="NormalWeb"/>
            <w:spacing w:line="360" w:lineRule="auto"/>
            <w:rPr>
              <w:rFonts w:ascii="TimesNewRomanPSMT" w:hAnsi="TimesNewRomanPSMT"/>
              <w:b/>
              <w:bCs/>
              <w:color w:val="002060"/>
              <w:sz w:val="21"/>
              <w:szCs w:val="21"/>
            </w:rPr>
          </w:pPr>
          <w:r>
            <w:rPr>
              <w:noProof/>
            </w:rPr>
            <w:lastRenderedPageBreak/>
            <w:drawing>
              <wp:anchor distT="0" distB="0" distL="114300" distR="114300" simplePos="0" relativeHeight="251671552" behindDoc="1" locked="0" layoutInCell="1" allowOverlap="1" wp14:anchorId="3D137074" wp14:editId="33C55B33">
                <wp:simplePos x="0" y="0"/>
                <wp:positionH relativeFrom="column">
                  <wp:posOffset>-55327</wp:posOffset>
                </wp:positionH>
                <wp:positionV relativeFrom="paragraph">
                  <wp:posOffset>802640</wp:posOffset>
                </wp:positionV>
                <wp:extent cx="3244132" cy="2289976"/>
                <wp:effectExtent l="0" t="0" r="7620" b="8890"/>
                <wp:wrapTight wrapText="bothSides">
                  <wp:wrapPolygon edited="0">
                    <wp:start x="0" y="0"/>
                    <wp:lineTo x="0" y="21564"/>
                    <wp:lineTo x="21566" y="21564"/>
                    <wp:lineTo x="21566" y="0"/>
                    <wp:lineTo x="0" y="0"/>
                  </wp:wrapPolygon>
                </wp:wrapTight>
                <wp:docPr id="19" name="Chart 19">
                  <a:extLst xmlns:a="http://schemas.openxmlformats.org/drawingml/2006/main">
                    <a:ext uri="{FF2B5EF4-FFF2-40B4-BE49-F238E27FC236}">
                      <a16:creationId xmlns:a16="http://schemas.microsoft.com/office/drawing/2014/main" id="{7F9F57D3-B2EE-0047-8B9F-85FBF7E1C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2733CE">
            <w:rPr>
              <w:rFonts w:ascii="TimesNewRomanPSMT" w:hAnsi="TimesNewRomanPSMT"/>
              <w:b/>
              <w:bCs/>
              <w:color w:val="002060"/>
              <w:sz w:val="21"/>
              <w:szCs w:val="21"/>
            </w:rPr>
            <w:t>Interest Cover:</w:t>
          </w:r>
          <w:r>
            <w:rPr>
              <w:rFonts w:ascii="TimesNewRomanPSMT" w:hAnsi="TimesNewRomanPSMT"/>
              <w:b/>
              <w:bCs/>
              <w:color w:val="002060"/>
              <w:sz w:val="21"/>
              <w:szCs w:val="21"/>
            </w:rPr>
            <w:t xml:space="preserve"> </w:t>
          </w:r>
          <w:r>
            <w:rPr>
              <w:rFonts w:ascii="TimesNewRomanPSMT" w:hAnsi="TimesNewRomanPSMT"/>
              <w:sz w:val="20"/>
              <w:szCs w:val="20"/>
            </w:rPr>
            <w:t xml:space="preserve"> </w:t>
          </w:r>
          <w:r>
            <w:rPr>
              <w:rFonts w:ascii="TimesNewRomanPSMT" w:hAnsi="TimesNewRomanPSMT"/>
              <w:sz w:val="20"/>
              <w:szCs w:val="20"/>
            </w:rPr>
            <w:t xml:space="preserve">Although the interest coverage ratio has increased significantly from 2019-2021, this is before capital expenditures have been deducted from EBIT calculations as it is a real expense that is incurred. After adjustment, the interest coverage ratio would indicate that it is roughly </w:t>
          </w:r>
          <w:r w:rsidR="005E4B88">
            <w:rPr>
              <w:rFonts w:ascii="TimesNewRomanPSMT" w:hAnsi="TimesNewRomanPSMT"/>
              <w:sz w:val="20"/>
              <w:szCs w:val="20"/>
            </w:rPr>
            <w:t xml:space="preserve">79% rather than the 126% before adjustment. However, this is still a high level of coverage which is a positive indicator to lenders and shareholders about the liquidity and the efficacy of their debt utilization. The reinvestment of profits into growth sectors while maintaining high interest coverage is ideal for investors. </w:t>
          </w:r>
        </w:p>
        <w:p w14:paraId="4958C8C9" w14:textId="74E705EE" w:rsidR="00E80DE0" w:rsidRDefault="00E80DE0" w:rsidP="00E70CBC">
          <w:pPr>
            <w:pStyle w:val="NormalWeb"/>
            <w:spacing w:line="360" w:lineRule="auto"/>
            <w:rPr>
              <w:rFonts w:ascii="TimesNewRomanPSMT" w:hAnsi="TimesNewRomanPSMT"/>
              <w:b/>
              <w:bCs/>
              <w:color w:val="002060"/>
              <w:sz w:val="21"/>
              <w:szCs w:val="21"/>
            </w:rPr>
          </w:pPr>
        </w:p>
        <w:p w14:paraId="5DDB761E" w14:textId="474F4413" w:rsidR="005E4B88" w:rsidRDefault="005E4B88" w:rsidP="00E70CBC">
          <w:pPr>
            <w:pStyle w:val="NormalWeb"/>
            <w:spacing w:line="360" w:lineRule="auto"/>
            <w:rPr>
              <w:rFonts w:ascii="TimesNewRomanPSMT" w:hAnsi="TimesNewRomanPSMT"/>
              <w:b/>
              <w:bCs/>
              <w:color w:val="002060"/>
              <w:sz w:val="21"/>
              <w:szCs w:val="21"/>
            </w:rPr>
          </w:pPr>
        </w:p>
        <w:p w14:paraId="46F36B50" w14:textId="77777777" w:rsidR="005E4B88" w:rsidRDefault="005E4B88" w:rsidP="00E70CBC">
          <w:pPr>
            <w:pStyle w:val="NormalWeb"/>
            <w:spacing w:line="360" w:lineRule="auto"/>
            <w:rPr>
              <w:rFonts w:ascii="TimesNewRomanPSMT" w:hAnsi="TimesNewRomanPSMT"/>
              <w:b/>
              <w:bCs/>
              <w:color w:val="002060"/>
              <w:sz w:val="21"/>
              <w:szCs w:val="21"/>
            </w:rPr>
          </w:pPr>
        </w:p>
        <w:p w14:paraId="564276A4" w14:textId="63708918" w:rsidR="00D37E43" w:rsidRDefault="00B73DEA" w:rsidP="00B73DEA">
          <w:pPr>
            <w:pStyle w:val="NormalWeb"/>
            <w:spacing w:line="360" w:lineRule="auto"/>
            <w:rPr>
              <w:rFonts w:ascii="TimesNewRomanPSMT" w:hAnsi="TimesNewRomanPSMT"/>
              <w:sz w:val="20"/>
              <w:szCs w:val="20"/>
            </w:rPr>
          </w:pPr>
          <w:r>
            <w:rPr>
              <w:noProof/>
            </w:rPr>
            <w:drawing>
              <wp:anchor distT="0" distB="0" distL="114300" distR="114300" simplePos="0" relativeHeight="251672576" behindDoc="1" locked="0" layoutInCell="1" allowOverlap="1" wp14:anchorId="4A34390D" wp14:editId="35488B0B">
                <wp:simplePos x="0" y="0"/>
                <wp:positionH relativeFrom="column">
                  <wp:posOffset>23523</wp:posOffset>
                </wp:positionH>
                <wp:positionV relativeFrom="paragraph">
                  <wp:posOffset>2161540</wp:posOffset>
                </wp:positionV>
                <wp:extent cx="3696970" cy="2663190"/>
                <wp:effectExtent l="0" t="0" r="11430" b="16510"/>
                <wp:wrapTight wrapText="bothSides">
                  <wp:wrapPolygon edited="0">
                    <wp:start x="0" y="0"/>
                    <wp:lineTo x="0" y="21631"/>
                    <wp:lineTo x="21593" y="21631"/>
                    <wp:lineTo x="21593" y="0"/>
                    <wp:lineTo x="0" y="0"/>
                  </wp:wrapPolygon>
                </wp:wrapTight>
                <wp:docPr id="17" name="Chart 17">
                  <a:extLst xmlns:a="http://schemas.openxmlformats.org/drawingml/2006/main">
                    <a:ext uri="{FF2B5EF4-FFF2-40B4-BE49-F238E27FC236}">
                      <a16:creationId xmlns:a16="http://schemas.microsoft.com/office/drawing/2014/main" id="{76814B67-3E1A-4940-93F2-5DF17E41D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70CBC">
            <w:rPr>
              <w:rFonts w:ascii="TimesNewRomanPSMT" w:hAnsi="TimesNewRomanPSMT"/>
              <w:b/>
              <w:bCs/>
              <w:color w:val="002060"/>
              <w:sz w:val="21"/>
              <w:szCs w:val="21"/>
            </w:rPr>
            <w:t>ROE:</w:t>
          </w:r>
          <w:r w:rsidR="005E4B88">
            <w:rPr>
              <w:rFonts w:ascii="TimesNewRomanPSMT" w:hAnsi="TimesNewRomanPSMT"/>
              <w:b/>
              <w:bCs/>
              <w:color w:val="002060"/>
              <w:sz w:val="21"/>
              <w:szCs w:val="21"/>
            </w:rPr>
            <w:t xml:space="preserve"> </w:t>
          </w:r>
          <w:r w:rsidR="005E4B88">
            <w:rPr>
              <w:rFonts w:ascii="TimesNewRomanPSMT" w:hAnsi="TimesNewRomanPSMT"/>
              <w:sz w:val="20"/>
              <w:szCs w:val="20"/>
            </w:rPr>
            <w:t xml:space="preserve">Finally, the decomposition of ROE </w:t>
          </w:r>
          <w:r w:rsidR="006F0243">
            <w:rPr>
              <w:rFonts w:ascii="TimesNewRomanPSMT" w:hAnsi="TimesNewRomanPSMT"/>
              <w:sz w:val="20"/>
              <w:szCs w:val="20"/>
            </w:rPr>
            <w:t>using the DuPont method- substituting Total Assets for Capital Employed</w:t>
          </w:r>
          <w:r w:rsidR="00330DDF">
            <w:rPr>
              <w:rStyle w:val="EndnoteReference"/>
              <w:rFonts w:ascii="TimesNewRomanPSMT" w:hAnsi="TimesNewRomanPSMT"/>
              <w:sz w:val="20"/>
              <w:szCs w:val="20"/>
            </w:rPr>
            <w:endnoteReference w:id="3"/>
          </w:r>
          <w:r w:rsidR="00E66AA6">
            <w:rPr>
              <w:rFonts w:ascii="TimesNewRomanPSMT" w:hAnsi="TimesNewRomanPSMT"/>
              <w:sz w:val="20"/>
              <w:szCs w:val="20"/>
            </w:rPr>
            <w:t>- will help depict the</w:t>
          </w:r>
          <w:r w:rsidR="001C4985">
            <w:rPr>
              <w:rFonts w:ascii="TimesNewRomanPSMT" w:hAnsi="TimesNewRomanPSMT"/>
              <w:sz w:val="20"/>
              <w:szCs w:val="20"/>
            </w:rPr>
            <w:t xml:space="preserve"> company’s efficiency in generating profit from equity capital. </w:t>
          </w:r>
          <w:r w:rsidR="00883903">
            <w:rPr>
              <w:rFonts w:ascii="TimesNewRomanPSMT" w:hAnsi="TimesNewRomanPSMT"/>
              <w:sz w:val="20"/>
              <w:szCs w:val="20"/>
            </w:rPr>
            <w:t xml:space="preserve">ROE has increased by roughly 12.5% while capital employed increased by 12.9% indicating that the efficient use of Shareholder capital has increased on a yearly basis. In the same time frame, Financial Leverage has decreased indicating that the increase in ROE was not a result of higher gearing. Based on the work of Frank K. Reilly, it </w:t>
          </w:r>
          <w:r w:rsidR="001B2AC4">
            <w:rPr>
              <w:rFonts w:ascii="TimesNewRomanPSMT" w:hAnsi="TimesNewRomanPSMT"/>
              <w:sz w:val="20"/>
              <w:szCs w:val="20"/>
            </w:rPr>
            <w:t xml:space="preserve">has been established that the aggregate driver of ROE during inflationary periods is the profit margin achieved by the company. </w:t>
          </w:r>
          <w:r w:rsidR="00373441">
            <w:rPr>
              <w:rFonts w:ascii="TimesNewRomanPSMT" w:hAnsi="TimesNewRomanPSMT"/>
              <w:sz w:val="20"/>
              <w:szCs w:val="20"/>
            </w:rPr>
            <w:t>Typically,</w:t>
          </w:r>
          <w:r w:rsidR="001B2AC4">
            <w:rPr>
              <w:rFonts w:ascii="TimesNewRomanPSMT" w:hAnsi="TimesNewRomanPSMT"/>
              <w:sz w:val="20"/>
              <w:szCs w:val="20"/>
            </w:rPr>
            <w:t xml:space="preserve"> </w:t>
          </w:r>
          <w:r w:rsidR="00373441">
            <w:rPr>
              <w:rFonts w:ascii="TimesNewRomanPSMT" w:hAnsi="TimesNewRomanPSMT"/>
              <w:sz w:val="20"/>
              <w:szCs w:val="20"/>
            </w:rPr>
            <w:t>Asset Turnover and Profit Margins will decrease but losses are offset by increases in Financial Leverage. When the Fed announced Quantitative Easing and Expansionary policies being implemented, the monetary shock effect</w:t>
          </w:r>
          <w:r w:rsidR="00373441">
            <w:rPr>
              <w:rStyle w:val="FootnoteReference"/>
              <w:rFonts w:ascii="TimesNewRomanPSMT" w:hAnsi="TimesNewRomanPSMT"/>
              <w:sz w:val="20"/>
              <w:szCs w:val="20"/>
            </w:rPr>
            <w:footnoteReference w:id="5"/>
          </w:r>
          <w:r w:rsidR="00373441">
            <w:rPr>
              <w:rFonts w:ascii="TimesNewRomanPSMT" w:hAnsi="TimesNewRomanPSMT"/>
              <w:sz w:val="20"/>
              <w:szCs w:val="20"/>
            </w:rPr>
            <w:t xml:space="preserve"> would have accounted for a large part of Microsoft’s exponential revenue growth and increase in share price- which can be seen through the increase in Equity </w:t>
          </w:r>
          <w:r w:rsidR="00330DDF">
            <w:rPr>
              <w:rFonts w:ascii="TimesNewRomanPSMT" w:hAnsi="TimesNewRomanPSMT"/>
              <w:sz w:val="20"/>
              <w:szCs w:val="20"/>
            </w:rPr>
            <w:t>from the previous year. However, as the US economy has surpassed every inflation target set by the Fed, with CPI estimates indicating that Tech sector prices have inflated by nearly 4 points</w:t>
          </w:r>
          <w:r>
            <w:rPr>
              <w:rStyle w:val="EndnoteReference"/>
              <w:rFonts w:ascii="TimesNewRomanPSMT" w:hAnsi="TimesNewRomanPSMT"/>
              <w:sz w:val="20"/>
              <w:szCs w:val="20"/>
            </w:rPr>
            <w:endnoteReference w:id="4"/>
          </w:r>
          <w:r w:rsidR="00330DDF">
            <w:rPr>
              <w:rFonts w:ascii="TimesNewRomanPSMT" w:hAnsi="TimesNewRomanPSMT"/>
              <w:sz w:val="20"/>
              <w:szCs w:val="20"/>
            </w:rPr>
            <w:t>, it can be expected that margins will begin to decrease</w:t>
          </w:r>
          <w:r>
            <w:rPr>
              <w:rFonts w:ascii="TimesNewRomanPSMT" w:hAnsi="TimesNewRomanPSMT"/>
              <w:sz w:val="20"/>
              <w:szCs w:val="20"/>
            </w:rPr>
            <w:t xml:space="preserve"> as COGS will increase. Moreover, the elastic pricing relation between Asset Turnover and Operating Margin will suffer unless prices are adjusted accordingly, suggesting that prices </w:t>
          </w:r>
          <w:r>
            <w:rPr>
              <w:rFonts w:ascii="TimesNewRomanPSMT" w:hAnsi="TimesNewRomanPSMT"/>
              <w:sz w:val="20"/>
              <w:szCs w:val="20"/>
            </w:rPr>
            <w:lastRenderedPageBreak/>
            <w:t xml:space="preserve">could be dynamically adjusted with inflation rather than the basic increase set for early 2022. This would offset the inflationary effects suggested by Frank Reilly, but with the Microsoft’s current ROE, it isn’t necessary. </w:t>
          </w:r>
          <w:proofErr w:type="gramStart"/>
          <w:r>
            <w:rPr>
              <w:rFonts w:ascii="TimesNewRomanPSMT" w:hAnsi="TimesNewRomanPSMT"/>
              <w:sz w:val="20"/>
              <w:szCs w:val="20"/>
            </w:rPr>
            <w:t>That being said, ROE</w:t>
          </w:r>
          <w:proofErr w:type="gramEnd"/>
          <w:r>
            <w:rPr>
              <w:rFonts w:ascii="TimesNewRomanPSMT" w:hAnsi="TimesNewRomanPSMT"/>
              <w:sz w:val="20"/>
              <w:szCs w:val="20"/>
            </w:rPr>
            <w:t xml:space="preserve"> may fall slightly as a result of poorly adjusted prices but will remain far ahead of the industry TTM average of 15%.</w:t>
          </w:r>
        </w:p>
        <w:p w14:paraId="6F485AB2" w14:textId="55A13282" w:rsidR="00B73DEA" w:rsidRDefault="00B73DEA" w:rsidP="00B73DEA">
          <w:pPr>
            <w:pStyle w:val="NormalWeb"/>
            <w:spacing w:line="360" w:lineRule="auto"/>
            <w:rPr>
              <w:rFonts w:ascii="TimesNewRomanPSMT" w:hAnsi="TimesNewRomanPSMT"/>
              <w:sz w:val="20"/>
              <w:szCs w:val="20"/>
            </w:rPr>
          </w:pPr>
          <w:r>
            <w:rPr>
              <w:rFonts w:ascii="TimesNewRomanPSMT" w:hAnsi="TimesNewRomanPSMT"/>
              <w:b/>
              <w:bCs/>
              <w:color w:val="002060"/>
              <w:sz w:val="21"/>
              <w:szCs w:val="21"/>
            </w:rPr>
            <w:t>Forecast:</w:t>
          </w:r>
          <w:r w:rsidRPr="00B73DEA">
            <w:rPr>
              <w:rFonts w:ascii="TimesNewRomanPSMT" w:hAnsi="TimesNewRomanPSMT"/>
              <w:sz w:val="20"/>
              <w:szCs w:val="20"/>
            </w:rPr>
            <w:t xml:space="preserve"> </w:t>
          </w:r>
          <w:r w:rsidR="00D11DF5">
            <w:rPr>
              <w:rFonts w:ascii="TimesNewRomanPSMT" w:hAnsi="TimesNewRomanPSMT"/>
              <w:sz w:val="20"/>
              <w:szCs w:val="20"/>
            </w:rPr>
            <w:t xml:space="preserve">In the financial model attached, there are </w:t>
          </w:r>
          <w:r w:rsidR="00200C4A">
            <w:rPr>
              <w:rFonts w:ascii="TimesNewRomanPSMT" w:hAnsi="TimesNewRomanPSMT"/>
              <w:sz w:val="20"/>
              <w:szCs w:val="20"/>
            </w:rPr>
            <w:t xml:space="preserve">three forecast scenarios that can be selected </w:t>
          </w:r>
          <w:r w:rsidR="000A5E85">
            <w:rPr>
              <w:rFonts w:ascii="TimesNewRomanPSMT" w:hAnsi="TimesNewRomanPSMT"/>
              <w:sz w:val="20"/>
              <w:szCs w:val="20"/>
            </w:rPr>
            <w:t xml:space="preserve">from to provide a more accurate forecast depending upon how the coming fiscal quarter goes. It is likely that due to the aforementioned factors, the most plausible scenario falls between a base case and best case up until mid 2022. While the Fed has no intentions of tapering, Microsoft’s Equity Capital will continue to increase and due to its’ efficiency in generating net profit from equity- Net profit will continue to increase. The margin at which Net Profits are generated may decrease given the </w:t>
          </w:r>
          <w:r w:rsidR="006A5352">
            <w:rPr>
              <w:rFonts w:ascii="TimesNewRomanPSMT" w:hAnsi="TimesNewRomanPSMT"/>
              <w:sz w:val="20"/>
              <w:szCs w:val="20"/>
            </w:rPr>
            <w:t xml:space="preserve">increasing </w:t>
          </w:r>
          <w:proofErr w:type="spellStart"/>
          <w:r w:rsidR="006A5352">
            <w:rPr>
              <w:rFonts w:ascii="TimesNewRomanPSMT" w:hAnsi="TimesNewRomanPSMT"/>
              <w:sz w:val="20"/>
              <w:szCs w:val="20"/>
            </w:rPr>
            <w:t>CapEx</w:t>
          </w:r>
          <w:proofErr w:type="spellEnd"/>
          <w:r w:rsidR="006A5352">
            <w:rPr>
              <w:rFonts w:ascii="TimesNewRomanPSMT" w:hAnsi="TimesNewRomanPSMT"/>
              <w:sz w:val="20"/>
              <w:szCs w:val="20"/>
            </w:rPr>
            <w:t xml:space="preserve"> and COGS</w:t>
          </w:r>
          <w:r w:rsidR="000A5E85">
            <w:rPr>
              <w:rFonts w:ascii="TimesNewRomanPSMT" w:hAnsi="TimesNewRomanPSMT"/>
              <w:sz w:val="20"/>
              <w:szCs w:val="20"/>
            </w:rPr>
            <w:t xml:space="preserve"> that will be incurred in the coming year </w:t>
          </w:r>
          <w:r w:rsidR="000A5E85">
            <w:rPr>
              <w:rStyle w:val="FootnoteReference"/>
              <w:rFonts w:ascii="TimesNewRomanPSMT" w:hAnsi="TimesNewRomanPSMT"/>
              <w:sz w:val="20"/>
              <w:szCs w:val="20"/>
            </w:rPr>
            <w:footnoteReference w:id="6"/>
          </w:r>
          <w:r w:rsidR="006A5352">
            <w:rPr>
              <w:rFonts w:ascii="TimesNewRomanPSMT" w:hAnsi="TimesNewRomanPSMT"/>
              <w:sz w:val="20"/>
              <w:szCs w:val="20"/>
            </w:rPr>
            <w:t xml:space="preserve">. </w:t>
          </w:r>
        </w:p>
        <w:p w14:paraId="5A1F05D4" w14:textId="732F7745" w:rsidR="00D37E43" w:rsidRDefault="00D37E43" w:rsidP="00B17719">
          <w:pPr>
            <w:pStyle w:val="NormalWeb"/>
            <w:rPr>
              <w:rFonts w:ascii="TimesNewRomanPSMT" w:hAnsi="TimesNewRomanPSMT"/>
              <w:sz w:val="20"/>
              <w:szCs w:val="20"/>
            </w:rPr>
          </w:pPr>
        </w:p>
        <w:p w14:paraId="7EFF896C" w14:textId="29D853F7" w:rsidR="00D37E43" w:rsidRDefault="00D37E43" w:rsidP="00B17719">
          <w:pPr>
            <w:pStyle w:val="NormalWeb"/>
            <w:rPr>
              <w:rFonts w:ascii="TimesNewRomanPSMT" w:hAnsi="TimesNewRomanPSMT"/>
              <w:sz w:val="20"/>
              <w:szCs w:val="20"/>
            </w:rPr>
          </w:pPr>
        </w:p>
        <w:p w14:paraId="6709D057" w14:textId="3149DCE0" w:rsidR="00B17719" w:rsidRPr="00B17719" w:rsidRDefault="00B17719" w:rsidP="00B17719">
          <w:pPr>
            <w:pStyle w:val="NormalWeb"/>
            <w:rPr>
              <w:rFonts w:ascii="TimesNewRomanPSMT" w:hAnsi="TimesNewRomanPSMT"/>
              <w:sz w:val="20"/>
              <w:szCs w:val="20"/>
            </w:rPr>
          </w:pPr>
          <w:r>
            <w:rPr>
              <w:rFonts w:ascii="TimesNewRomanPSMT" w:hAnsi="TimesNewRomanPSMT"/>
              <w:sz w:val="20"/>
              <w:szCs w:val="20"/>
            </w:rPr>
            <w:t xml:space="preserve"> </w:t>
          </w:r>
        </w:p>
        <w:p w14:paraId="718C7D24" w14:textId="72A35CB9" w:rsidR="00B17719" w:rsidRDefault="00B17719" w:rsidP="00B17719">
          <w:pPr>
            <w:pStyle w:val="NormalWeb"/>
            <w:rPr>
              <w:rFonts w:ascii="TimesNewRomanPSMT" w:hAnsi="TimesNewRomanPSMT"/>
              <w:color w:val="2D5193"/>
              <w:sz w:val="20"/>
              <w:szCs w:val="20"/>
            </w:rPr>
          </w:pPr>
        </w:p>
        <w:p w14:paraId="5489FB94" w14:textId="3D905CE7" w:rsidR="007C7322" w:rsidRDefault="007C7322" w:rsidP="00B17719">
          <w:pPr>
            <w:pStyle w:val="NormalWeb"/>
            <w:rPr>
              <w:rFonts w:ascii="TimesNewRomanPSMT" w:hAnsi="TimesNewRomanPSMT"/>
              <w:color w:val="2D5193"/>
              <w:sz w:val="20"/>
              <w:szCs w:val="20"/>
            </w:rPr>
          </w:pPr>
        </w:p>
        <w:p w14:paraId="5CAFC9E0" w14:textId="1EDC3F6F" w:rsidR="007C7322" w:rsidRDefault="007C7322" w:rsidP="00B17719">
          <w:pPr>
            <w:pStyle w:val="NormalWeb"/>
            <w:rPr>
              <w:rFonts w:ascii="TimesNewRomanPSMT" w:hAnsi="TimesNewRomanPSMT"/>
              <w:color w:val="2D5193"/>
              <w:sz w:val="20"/>
              <w:szCs w:val="20"/>
            </w:rPr>
          </w:pPr>
        </w:p>
        <w:p w14:paraId="14A2B31E" w14:textId="051A5C5C" w:rsidR="007C7322" w:rsidRDefault="007C7322" w:rsidP="00B17719">
          <w:pPr>
            <w:pStyle w:val="NormalWeb"/>
            <w:rPr>
              <w:rFonts w:ascii="TimesNewRomanPSMT" w:hAnsi="TimesNewRomanPSMT"/>
              <w:color w:val="2D5193"/>
              <w:sz w:val="20"/>
              <w:szCs w:val="20"/>
            </w:rPr>
          </w:pPr>
        </w:p>
        <w:p w14:paraId="6784A374" w14:textId="77777777" w:rsidR="007C7322" w:rsidRDefault="007C7322" w:rsidP="00B17719">
          <w:pPr>
            <w:pStyle w:val="NormalWeb"/>
            <w:rPr>
              <w:rFonts w:ascii="TimesNewRomanPSMT" w:hAnsi="TimesNewRomanPSMT"/>
              <w:color w:val="2D5193"/>
              <w:sz w:val="20"/>
              <w:szCs w:val="20"/>
            </w:rPr>
          </w:pPr>
        </w:p>
        <w:p w14:paraId="055ED4B7" w14:textId="77777777" w:rsidR="00B73DEA" w:rsidRDefault="00B73DEA" w:rsidP="00E70CBC">
          <w:pPr>
            <w:pStyle w:val="NormalWeb"/>
            <w:rPr>
              <w:rFonts w:ascii="TimesNewRomanPSMT" w:hAnsi="TimesNewRomanPSMT"/>
              <w:color w:val="2D5193"/>
              <w:sz w:val="20"/>
              <w:szCs w:val="20"/>
            </w:rPr>
          </w:pPr>
        </w:p>
        <w:p w14:paraId="46A69C7F" w14:textId="38CC0168" w:rsidR="00B17719" w:rsidRPr="00E70CBC" w:rsidRDefault="00B17719" w:rsidP="00E70CBC">
          <w:pPr>
            <w:pStyle w:val="NormalWeb"/>
            <w:rPr>
              <w:rFonts w:ascii="TimesNewRomanPSMT" w:hAnsi="TimesNewRomanPSMT"/>
              <w:color w:val="2D5193"/>
              <w:sz w:val="20"/>
              <w:szCs w:val="20"/>
            </w:rPr>
          </w:pPr>
          <w:r>
            <w:rPr>
              <w:rFonts w:ascii="TimesNewRomanPSMT" w:hAnsi="TimesNewRomanPSMT"/>
              <w:color w:val="2D5193"/>
              <w:sz w:val="20"/>
              <w:szCs w:val="20"/>
            </w:rPr>
            <w:tab/>
          </w:r>
          <w:r w:rsidRPr="007C7322">
            <w:rPr>
              <w:rFonts w:ascii="TimesNewRomanPSMT" w:hAnsi="TimesNewRomanPSMT"/>
              <w:color w:val="002060"/>
              <w:sz w:val="20"/>
              <w:szCs w:val="20"/>
            </w:rPr>
            <w:t xml:space="preserve"> </w:t>
          </w:r>
        </w:p>
        <w:p w14:paraId="351625CB" w14:textId="77777777" w:rsidR="0001631E" w:rsidRDefault="0001631E"/>
        <w:p w14:paraId="18F77FE5" w14:textId="4DBF0B02" w:rsidR="00096FBA" w:rsidRDefault="00096FBA"/>
      </w:sdtContent>
    </w:sdt>
    <w:p w14:paraId="78B2B26F" w14:textId="77777777" w:rsidR="000A5E85" w:rsidRDefault="000A5E85"/>
    <w:p w14:paraId="58CE5E34" w14:textId="77777777" w:rsidR="000A5E85" w:rsidRDefault="000A5E85"/>
    <w:p w14:paraId="39E1346F" w14:textId="77777777" w:rsidR="000A5E85" w:rsidRDefault="000A5E85"/>
    <w:p w14:paraId="54A0DF26" w14:textId="77777777" w:rsidR="000A5E85" w:rsidRDefault="000A5E85"/>
    <w:p w14:paraId="4BA98844" w14:textId="77777777" w:rsidR="000A5E85" w:rsidRDefault="000A5E85"/>
    <w:p w14:paraId="671E5490" w14:textId="77777777" w:rsidR="000A5E85" w:rsidRDefault="000A5E85"/>
    <w:p w14:paraId="3838C1D8" w14:textId="77777777" w:rsidR="000A5E85" w:rsidRDefault="000A5E85"/>
    <w:p w14:paraId="38253FEE" w14:textId="77777777" w:rsidR="000A5E85" w:rsidRDefault="000A5E85"/>
    <w:p w14:paraId="44DE08F9" w14:textId="77777777" w:rsidR="000A5E85" w:rsidRDefault="000A5E85"/>
    <w:p w14:paraId="539373FC" w14:textId="081265F4" w:rsidR="00605527" w:rsidRDefault="00E70CBC">
      <w:r>
        <w:t>Appendix</w:t>
      </w:r>
    </w:p>
    <w:sectPr w:rsidR="00605527" w:rsidSect="00096FB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11AC" w14:textId="77777777" w:rsidR="007B39F6" w:rsidRDefault="007B39F6" w:rsidP="000D75DC">
      <w:r>
        <w:separator/>
      </w:r>
    </w:p>
  </w:endnote>
  <w:endnote w:type="continuationSeparator" w:id="0">
    <w:p w14:paraId="16D7BCD7" w14:textId="77777777" w:rsidR="007B39F6" w:rsidRDefault="007B39F6" w:rsidP="000D75DC">
      <w:r>
        <w:continuationSeparator/>
      </w:r>
    </w:p>
  </w:endnote>
  <w:endnote w:id="1">
    <w:p w14:paraId="4969A923" w14:textId="144DB963" w:rsidR="00B57CB7" w:rsidRPr="00B57CB7" w:rsidRDefault="00B57CB7">
      <w:pPr>
        <w:pStyle w:val="EndnoteText"/>
        <w:rPr>
          <w:lang w:val="en-US"/>
        </w:rPr>
      </w:pPr>
      <w:r>
        <w:rPr>
          <w:rStyle w:val="EndnoteReference"/>
        </w:rPr>
        <w:endnoteRef/>
      </w:r>
      <w:r>
        <w:t xml:space="preserve"> </w:t>
      </w:r>
      <w:r>
        <w:rPr>
          <w:noProof/>
        </w:rPr>
        <w:drawing>
          <wp:inline distT="0" distB="0" distL="0" distR="0" wp14:anchorId="04CDCE54" wp14:editId="2EB67601">
            <wp:extent cx="6019137" cy="3204376"/>
            <wp:effectExtent l="0" t="0" r="13970" b="8890"/>
            <wp:docPr id="9" name="Chart 9">
              <a:extLst xmlns:a="http://schemas.openxmlformats.org/drawingml/2006/main">
                <a:ext uri="{FF2B5EF4-FFF2-40B4-BE49-F238E27FC236}">
                  <a16:creationId xmlns:a16="http://schemas.microsoft.com/office/drawing/2014/main" id="{FA38D28F-5BCF-294C-88B5-019CD94868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wp:inline>
        </w:drawing>
      </w:r>
    </w:p>
  </w:endnote>
  <w:endnote w:id="2">
    <w:p w14:paraId="73A7B739" w14:textId="77777777" w:rsidR="00B57CB7" w:rsidRDefault="00B57CB7">
      <w:pPr>
        <w:pStyle w:val="EndnoteText"/>
      </w:pPr>
    </w:p>
    <w:p w14:paraId="4B18321F" w14:textId="77777777" w:rsidR="00B57CB7" w:rsidRDefault="00B57CB7">
      <w:pPr>
        <w:pStyle w:val="EndnoteText"/>
      </w:pPr>
    </w:p>
    <w:p w14:paraId="2854D175" w14:textId="77777777" w:rsidR="00B57CB7" w:rsidRDefault="00B57CB7">
      <w:pPr>
        <w:pStyle w:val="EndnoteText"/>
      </w:pPr>
    </w:p>
    <w:p w14:paraId="28FB3E74" w14:textId="7A479CBC" w:rsidR="00B57CB7" w:rsidRPr="00B57CB7" w:rsidRDefault="00B57CB7">
      <w:pPr>
        <w:pStyle w:val="EndnoteText"/>
        <w:rPr>
          <w:lang w:val="en-US"/>
        </w:rPr>
      </w:pPr>
      <w:r>
        <w:rPr>
          <w:rStyle w:val="EndnoteReference"/>
        </w:rPr>
        <w:endnoteRef/>
      </w:r>
      <w:r>
        <w:t xml:space="preserve"> </w:t>
      </w:r>
      <w:r>
        <w:rPr>
          <w:noProof/>
        </w:rPr>
        <w:drawing>
          <wp:inline distT="0" distB="0" distL="0" distR="0" wp14:anchorId="0869CDAD" wp14:editId="28D9C2EE">
            <wp:extent cx="6597272" cy="4019644"/>
            <wp:effectExtent l="0" t="0" r="6985" b="6350"/>
            <wp:docPr id="11" name="Chart 11">
              <a:extLst xmlns:a="http://schemas.openxmlformats.org/drawingml/2006/main">
                <a:ext uri="{FF2B5EF4-FFF2-40B4-BE49-F238E27FC236}">
                  <a16:creationId xmlns:a16="http://schemas.microsoft.com/office/drawing/2014/main" id="{EABDBACC-106A-CF48-8F1D-134F13A19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endnote>
  <w:endnote w:id="3">
    <w:p w14:paraId="70535285" w14:textId="333E7623" w:rsidR="00330DDF" w:rsidRDefault="00330DDF">
      <w:pPr>
        <w:pStyle w:val="EndnoteText"/>
      </w:pPr>
      <w:r>
        <w:rPr>
          <w:rStyle w:val="EndnoteReference"/>
        </w:rPr>
        <w:endnoteRef/>
      </w:r>
      <w:r>
        <w:t xml:space="preserve"> </w:t>
      </w:r>
      <w:r>
        <w:rPr>
          <w:noProof/>
        </w:rPr>
        <w:drawing>
          <wp:inline distT="0" distB="0" distL="0" distR="0" wp14:anchorId="76333F16" wp14:editId="270815F2">
            <wp:extent cx="5727700" cy="1104900"/>
            <wp:effectExtent l="0" t="0" r="0" b="0"/>
            <wp:docPr id="20" name="Picture 2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low confidence"/>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5727700" cy="1104900"/>
                    </a:xfrm>
                    <a:prstGeom prst="rect">
                      <a:avLst/>
                    </a:prstGeom>
                  </pic:spPr>
                </pic:pic>
              </a:graphicData>
            </a:graphic>
          </wp:inline>
        </w:drawing>
      </w:r>
    </w:p>
    <w:p w14:paraId="7E46E7F0" w14:textId="013CF07B" w:rsidR="00582E1C" w:rsidRDefault="00582E1C">
      <w:pPr>
        <w:pStyle w:val="EndnoteText"/>
      </w:pPr>
    </w:p>
    <w:p w14:paraId="19E24FC4" w14:textId="1A1AC4B5" w:rsidR="00582E1C" w:rsidRDefault="00582E1C">
      <w:pPr>
        <w:pStyle w:val="EndnoteText"/>
      </w:pPr>
    </w:p>
    <w:p w14:paraId="0FF92312" w14:textId="77777777" w:rsidR="00582E1C" w:rsidRPr="00330DDF" w:rsidRDefault="00582E1C">
      <w:pPr>
        <w:pStyle w:val="EndnoteText"/>
        <w:rPr>
          <w:lang w:val="en-US"/>
        </w:rPr>
      </w:pPr>
    </w:p>
  </w:endnote>
  <w:endnote w:id="4">
    <w:p w14:paraId="147219CF" w14:textId="7ADCDDC4" w:rsidR="00B73DEA" w:rsidRPr="00B73DEA" w:rsidRDefault="00B73DEA">
      <w:pPr>
        <w:pStyle w:val="EndnoteText"/>
        <w:rPr>
          <w:lang w:val="en-US"/>
        </w:rPr>
      </w:pPr>
      <w:r>
        <w:rPr>
          <w:rStyle w:val="EndnoteReference"/>
        </w:rPr>
        <w:endnoteRef/>
      </w:r>
      <w:r>
        <w:t xml:space="preserve"> </w:t>
      </w:r>
      <w:r>
        <w:rPr>
          <w:noProof/>
          <w:lang w:val="en-US"/>
        </w:rPr>
        <w:drawing>
          <wp:inline distT="0" distB="0" distL="0" distR="0" wp14:anchorId="06348FD5" wp14:editId="71ED5468">
            <wp:extent cx="5731510" cy="2764790"/>
            <wp:effectExtent l="0" t="0" r="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994A" w14:textId="77777777" w:rsidR="007B39F6" w:rsidRDefault="007B39F6" w:rsidP="000D75DC">
      <w:r>
        <w:separator/>
      </w:r>
    </w:p>
  </w:footnote>
  <w:footnote w:type="continuationSeparator" w:id="0">
    <w:p w14:paraId="3D06268A" w14:textId="77777777" w:rsidR="007B39F6" w:rsidRDefault="007B39F6" w:rsidP="000D75DC">
      <w:r>
        <w:continuationSeparator/>
      </w:r>
    </w:p>
  </w:footnote>
  <w:footnote w:id="1">
    <w:p w14:paraId="76F7C236" w14:textId="73206D69" w:rsidR="000D75DC" w:rsidRPr="00053302" w:rsidRDefault="000D75DC">
      <w:pPr>
        <w:pStyle w:val="FootnoteText"/>
        <w:rPr>
          <w:rFonts w:ascii="Times New Roman" w:hAnsi="Times New Roman" w:cs="Times New Roman"/>
          <w:lang w:val="en-US"/>
        </w:rPr>
      </w:pPr>
      <w:r>
        <w:rPr>
          <w:rStyle w:val="FootnoteReference"/>
        </w:rPr>
        <w:footnoteRef/>
      </w:r>
      <w:r>
        <w:t xml:space="preserve"> </w:t>
      </w:r>
      <w:r w:rsidRPr="00053302">
        <w:rPr>
          <w:rFonts w:ascii="Times New Roman" w:hAnsi="Times New Roman" w:cs="Times New Roman"/>
          <w:lang w:val="en-US"/>
        </w:rPr>
        <w:t>Gaming has accounted for an average of 15% of total revenue and grew roughly 4% from last year</w:t>
      </w:r>
    </w:p>
  </w:footnote>
  <w:footnote w:id="2">
    <w:p w14:paraId="34EEE5C6" w14:textId="326031C4" w:rsidR="00053302" w:rsidRPr="00053302" w:rsidRDefault="00053302">
      <w:pPr>
        <w:pStyle w:val="FootnoteText"/>
        <w:rPr>
          <w:lang w:val="en-US"/>
        </w:rPr>
      </w:pPr>
      <w:r w:rsidRPr="00053302">
        <w:rPr>
          <w:rStyle w:val="FootnoteReference"/>
          <w:rFonts w:ascii="Times New Roman" w:hAnsi="Times New Roman" w:cs="Times New Roman"/>
        </w:rPr>
        <w:footnoteRef/>
      </w:r>
      <w:r w:rsidRPr="00053302">
        <w:rPr>
          <w:rFonts w:ascii="Times New Roman" w:hAnsi="Times New Roman" w:cs="Times New Roman"/>
        </w:rPr>
        <w:t xml:space="preserve"> </w:t>
      </w:r>
      <w:r w:rsidRPr="00053302">
        <w:rPr>
          <w:rFonts w:ascii="Times New Roman" w:hAnsi="Times New Roman" w:cs="Times New Roman"/>
        </w:rPr>
        <w:t>An important point to note is the upcoming cloud gaming service (</w:t>
      </w:r>
      <w:proofErr w:type="spellStart"/>
      <w:r w:rsidRPr="00053302">
        <w:rPr>
          <w:rFonts w:ascii="Times New Roman" w:hAnsi="Times New Roman" w:cs="Times New Roman"/>
        </w:rPr>
        <w:t>XCloud</w:t>
      </w:r>
      <w:proofErr w:type="spellEnd"/>
      <w:r w:rsidRPr="00053302">
        <w:rPr>
          <w:rFonts w:ascii="Times New Roman" w:hAnsi="Times New Roman" w:cs="Times New Roman"/>
        </w:rPr>
        <w:t xml:space="preserve"> is currently in beta stages) that will allow users to stream and play console games on PCs. This should reduce the COGS associated with hardware revenues for Xbox and address the current chip shortage.</w:t>
      </w:r>
    </w:p>
  </w:footnote>
  <w:footnote w:id="3">
    <w:p w14:paraId="439AD2B6" w14:textId="13C2E345" w:rsidR="005B12EF" w:rsidRDefault="005B12EF" w:rsidP="005B12EF">
      <w:pPr>
        <w:pStyle w:val="NormalWeb"/>
        <w:spacing w:line="360" w:lineRule="auto"/>
        <w:rPr>
          <w:rFonts w:ascii="TimesNewRomanPSMT" w:hAnsi="TimesNewRomanPSMT"/>
          <w:b/>
          <w:bCs/>
          <w:color w:val="002060"/>
          <w:sz w:val="21"/>
          <w:szCs w:val="21"/>
        </w:rPr>
      </w:pPr>
      <w:r>
        <w:rPr>
          <w:rStyle w:val="FootnoteReference"/>
        </w:rPr>
        <w:footnoteRef/>
      </w:r>
      <w:r>
        <w:t xml:space="preserve"> </w:t>
      </w:r>
      <w:r>
        <w:rPr>
          <w:rFonts w:ascii="TimesNewRomanPSMT" w:hAnsi="TimesNewRomanPSMT"/>
          <w:sz w:val="20"/>
          <w:szCs w:val="20"/>
        </w:rPr>
        <w:t>The share price o</w:t>
      </w:r>
      <w:r>
        <w:rPr>
          <w:rFonts w:ascii="TimesNewRomanPSMT" w:hAnsi="TimesNewRomanPSMT"/>
          <w:sz w:val="20"/>
          <w:szCs w:val="20"/>
        </w:rPr>
        <w:t>pen</w:t>
      </w:r>
      <w:r>
        <w:rPr>
          <w:rFonts w:ascii="TimesNewRomanPSMT" w:hAnsi="TimesNewRomanPSMT"/>
          <w:sz w:val="20"/>
          <w:szCs w:val="20"/>
        </w:rPr>
        <w:t>ed</w:t>
      </w:r>
      <w:r>
        <w:rPr>
          <w:rFonts w:ascii="TimesNewRomanPSMT" w:hAnsi="TimesNewRomanPSMT"/>
          <w:sz w:val="20"/>
          <w:szCs w:val="20"/>
        </w:rPr>
        <w:t xml:space="preserve"> at $99.55 in January of 2019 and</w:t>
      </w:r>
      <w:r>
        <w:rPr>
          <w:rFonts w:ascii="TimesNewRomanPSMT" w:hAnsi="TimesNewRomanPSMT"/>
          <w:sz w:val="20"/>
          <w:szCs w:val="20"/>
        </w:rPr>
        <w:t xml:space="preserve"> is currently</w:t>
      </w:r>
      <w:r>
        <w:rPr>
          <w:rFonts w:ascii="TimesNewRomanPSMT" w:hAnsi="TimesNewRomanPSMT"/>
          <w:sz w:val="20"/>
          <w:szCs w:val="20"/>
        </w:rPr>
        <w:t xml:space="preserve"> opening at 282.12</w:t>
      </w:r>
    </w:p>
    <w:p w14:paraId="0BC58946" w14:textId="2592717D" w:rsidR="005B12EF" w:rsidRPr="005B12EF" w:rsidRDefault="005B12EF">
      <w:pPr>
        <w:pStyle w:val="FootnoteText"/>
        <w:rPr>
          <w:lang w:val="en-US"/>
        </w:rPr>
      </w:pPr>
    </w:p>
  </w:footnote>
  <w:footnote w:id="4">
    <w:p w14:paraId="2ACC5B72" w14:textId="52CEBD4B" w:rsidR="0081429A" w:rsidRPr="0081429A" w:rsidRDefault="0081429A">
      <w:pPr>
        <w:pStyle w:val="FootnoteText"/>
        <w:rPr>
          <w:lang w:val="en-US"/>
        </w:rPr>
      </w:pPr>
      <w:r>
        <w:rPr>
          <w:rStyle w:val="FootnoteReference"/>
        </w:rPr>
        <w:footnoteRef/>
      </w:r>
      <w:r>
        <w:t xml:space="preserve"> </w:t>
      </w:r>
      <w:r>
        <w:rPr>
          <w:lang w:val="en-US"/>
        </w:rPr>
        <w:t>All industry averages used for relative valuations have been taken from Reuters</w:t>
      </w:r>
    </w:p>
  </w:footnote>
  <w:footnote w:id="5">
    <w:p w14:paraId="299550AF" w14:textId="0EB91FD2" w:rsidR="00373441" w:rsidRPr="00373441" w:rsidRDefault="00373441">
      <w:pPr>
        <w:pStyle w:val="FootnoteText"/>
        <w:rPr>
          <w:lang w:val="en-US"/>
        </w:rPr>
      </w:pPr>
      <w:r>
        <w:rPr>
          <w:rStyle w:val="FootnoteReference"/>
        </w:rPr>
        <w:footnoteRef/>
      </w:r>
      <w:r>
        <w:t xml:space="preserve"> </w:t>
      </w:r>
      <w:r>
        <w:rPr>
          <w:lang w:val="en-US"/>
        </w:rPr>
        <w:t xml:space="preserve">Based on the Theoretical framework of Willem </w:t>
      </w:r>
      <w:proofErr w:type="spellStart"/>
      <w:r>
        <w:rPr>
          <w:lang w:val="en-US"/>
        </w:rPr>
        <w:t>Thorbecke’s</w:t>
      </w:r>
      <w:proofErr w:type="spellEnd"/>
      <w:r>
        <w:rPr>
          <w:lang w:val="en-US"/>
        </w:rPr>
        <w:t xml:space="preserve"> VAR Model (1997)</w:t>
      </w:r>
    </w:p>
  </w:footnote>
  <w:footnote w:id="6">
    <w:p w14:paraId="15D12E07" w14:textId="5C29CAB4" w:rsidR="000A5E85" w:rsidRDefault="000A5E85" w:rsidP="000A5E85">
      <w:pPr>
        <w:pStyle w:val="NormalWeb"/>
        <w:spacing w:line="360" w:lineRule="auto"/>
        <w:rPr>
          <w:rFonts w:ascii="TimesNewRomanPSMT" w:hAnsi="TimesNewRomanPSMT"/>
          <w:sz w:val="20"/>
          <w:szCs w:val="20"/>
        </w:rPr>
      </w:pPr>
      <w:r>
        <w:rPr>
          <w:rStyle w:val="FootnoteReference"/>
        </w:rPr>
        <w:footnoteRef/>
      </w:r>
      <w:r>
        <w:t xml:space="preserve"> </w:t>
      </w:r>
      <w:r>
        <w:rPr>
          <w:rFonts w:ascii="TimesNewRomanPSMT" w:hAnsi="TimesNewRomanPSMT"/>
          <w:sz w:val="20"/>
          <w:szCs w:val="20"/>
        </w:rPr>
        <w:t>(</w:t>
      </w:r>
      <w:proofErr w:type="gramStart"/>
      <w:r>
        <w:rPr>
          <w:rFonts w:ascii="TimesNewRomanPSMT" w:hAnsi="TimesNewRomanPSMT"/>
          <w:sz w:val="20"/>
          <w:szCs w:val="20"/>
        </w:rPr>
        <w:t>inflationary</w:t>
      </w:r>
      <w:proofErr w:type="gramEnd"/>
      <w:r>
        <w:rPr>
          <w:rFonts w:ascii="TimesNewRomanPSMT" w:hAnsi="TimesNewRomanPSMT"/>
          <w:sz w:val="20"/>
          <w:szCs w:val="20"/>
        </w:rPr>
        <w:t xml:space="preserve"> increases in COGS, chip shortage, and expanding data centres)</w:t>
      </w:r>
    </w:p>
    <w:p w14:paraId="079AB779" w14:textId="14DF78CB" w:rsidR="000A5E85" w:rsidRPr="000A5E85" w:rsidRDefault="000A5E85">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BA"/>
    <w:rsid w:val="0001631E"/>
    <w:rsid w:val="00053302"/>
    <w:rsid w:val="0006790C"/>
    <w:rsid w:val="00096FBA"/>
    <w:rsid w:val="000A37E5"/>
    <w:rsid w:val="000A5AB8"/>
    <w:rsid w:val="000A5E85"/>
    <w:rsid w:val="000D75DC"/>
    <w:rsid w:val="00153872"/>
    <w:rsid w:val="00173C02"/>
    <w:rsid w:val="001A587C"/>
    <w:rsid w:val="001B2AC4"/>
    <w:rsid w:val="001C4985"/>
    <w:rsid w:val="001D6CD6"/>
    <w:rsid w:val="001F51DD"/>
    <w:rsid w:val="00200C4A"/>
    <w:rsid w:val="00203082"/>
    <w:rsid w:val="0021237B"/>
    <w:rsid w:val="00215BB9"/>
    <w:rsid w:val="0022041B"/>
    <w:rsid w:val="00247057"/>
    <w:rsid w:val="002733CE"/>
    <w:rsid w:val="00295B13"/>
    <w:rsid w:val="002A5B69"/>
    <w:rsid w:val="00311528"/>
    <w:rsid w:val="00330DDF"/>
    <w:rsid w:val="003614CA"/>
    <w:rsid w:val="0037168C"/>
    <w:rsid w:val="00373441"/>
    <w:rsid w:val="00437EBA"/>
    <w:rsid w:val="004D5CA0"/>
    <w:rsid w:val="004E5064"/>
    <w:rsid w:val="00535ED2"/>
    <w:rsid w:val="00582E1C"/>
    <w:rsid w:val="005B12EF"/>
    <w:rsid w:val="005E4B88"/>
    <w:rsid w:val="00601C61"/>
    <w:rsid w:val="00605527"/>
    <w:rsid w:val="00614C2D"/>
    <w:rsid w:val="00616081"/>
    <w:rsid w:val="00630AFA"/>
    <w:rsid w:val="00650E97"/>
    <w:rsid w:val="00661FEF"/>
    <w:rsid w:val="006A5352"/>
    <w:rsid w:val="006D4C55"/>
    <w:rsid w:val="006F0243"/>
    <w:rsid w:val="0073125E"/>
    <w:rsid w:val="0078719D"/>
    <w:rsid w:val="007A7A33"/>
    <w:rsid w:val="007B39F6"/>
    <w:rsid w:val="007C49FD"/>
    <w:rsid w:val="007C7322"/>
    <w:rsid w:val="008058C2"/>
    <w:rsid w:val="0081429A"/>
    <w:rsid w:val="0086320E"/>
    <w:rsid w:val="00883903"/>
    <w:rsid w:val="008954E3"/>
    <w:rsid w:val="008A3387"/>
    <w:rsid w:val="008E2819"/>
    <w:rsid w:val="009A4F79"/>
    <w:rsid w:val="009B0990"/>
    <w:rsid w:val="009E0903"/>
    <w:rsid w:val="009F7FDE"/>
    <w:rsid w:val="00A0207F"/>
    <w:rsid w:val="00A70710"/>
    <w:rsid w:val="00A719FF"/>
    <w:rsid w:val="00A768D2"/>
    <w:rsid w:val="00AA719E"/>
    <w:rsid w:val="00AA77F9"/>
    <w:rsid w:val="00B13A3D"/>
    <w:rsid w:val="00B17719"/>
    <w:rsid w:val="00B57CB7"/>
    <w:rsid w:val="00B73DEA"/>
    <w:rsid w:val="00B92D18"/>
    <w:rsid w:val="00B97392"/>
    <w:rsid w:val="00BA7594"/>
    <w:rsid w:val="00BC3708"/>
    <w:rsid w:val="00BD62BF"/>
    <w:rsid w:val="00CA2DEE"/>
    <w:rsid w:val="00CB60F7"/>
    <w:rsid w:val="00CC2CE3"/>
    <w:rsid w:val="00CF3878"/>
    <w:rsid w:val="00D11DF5"/>
    <w:rsid w:val="00D37E43"/>
    <w:rsid w:val="00DB7D64"/>
    <w:rsid w:val="00DC6EE6"/>
    <w:rsid w:val="00E45A2F"/>
    <w:rsid w:val="00E6382D"/>
    <w:rsid w:val="00E66AA6"/>
    <w:rsid w:val="00E70CBC"/>
    <w:rsid w:val="00E80DE0"/>
    <w:rsid w:val="00EC4BDE"/>
    <w:rsid w:val="00EF34CD"/>
    <w:rsid w:val="00F35848"/>
    <w:rsid w:val="00F56828"/>
    <w:rsid w:val="00F7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08C"/>
  <w15:chartTrackingRefBased/>
  <w15:docId w15:val="{AB50B42D-D84E-8D4B-9FC1-A5F82830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FBA"/>
    <w:rPr>
      <w:rFonts w:eastAsiaTheme="minorEastAsia"/>
      <w:sz w:val="22"/>
      <w:szCs w:val="22"/>
      <w:lang w:val="en-US" w:eastAsia="zh-CN"/>
    </w:rPr>
  </w:style>
  <w:style w:type="character" w:customStyle="1" w:styleId="NoSpacingChar">
    <w:name w:val="No Spacing Char"/>
    <w:basedOn w:val="DefaultParagraphFont"/>
    <w:link w:val="NoSpacing"/>
    <w:uiPriority w:val="1"/>
    <w:rsid w:val="00096FBA"/>
    <w:rPr>
      <w:rFonts w:eastAsiaTheme="minorEastAsia"/>
      <w:sz w:val="22"/>
      <w:szCs w:val="22"/>
      <w:lang w:val="en-US" w:eastAsia="zh-CN"/>
    </w:rPr>
  </w:style>
  <w:style w:type="paragraph" w:styleId="NormalWeb">
    <w:name w:val="Normal (Web)"/>
    <w:basedOn w:val="Normal"/>
    <w:uiPriority w:val="99"/>
    <w:unhideWhenUsed/>
    <w:rsid w:val="00096FBA"/>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0D75DC"/>
    <w:rPr>
      <w:sz w:val="20"/>
      <w:szCs w:val="20"/>
    </w:rPr>
  </w:style>
  <w:style w:type="character" w:customStyle="1" w:styleId="FootnoteTextChar">
    <w:name w:val="Footnote Text Char"/>
    <w:basedOn w:val="DefaultParagraphFont"/>
    <w:link w:val="FootnoteText"/>
    <w:uiPriority w:val="99"/>
    <w:semiHidden/>
    <w:rsid w:val="000D75DC"/>
    <w:rPr>
      <w:sz w:val="20"/>
      <w:szCs w:val="20"/>
    </w:rPr>
  </w:style>
  <w:style w:type="character" w:styleId="FootnoteReference">
    <w:name w:val="footnote reference"/>
    <w:basedOn w:val="DefaultParagraphFont"/>
    <w:uiPriority w:val="99"/>
    <w:semiHidden/>
    <w:unhideWhenUsed/>
    <w:rsid w:val="000D75DC"/>
    <w:rPr>
      <w:vertAlign w:val="superscript"/>
    </w:rPr>
  </w:style>
  <w:style w:type="paragraph" w:styleId="EndnoteText">
    <w:name w:val="endnote text"/>
    <w:basedOn w:val="Normal"/>
    <w:link w:val="EndnoteTextChar"/>
    <w:uiPriority w:val="99"/>
    <w:semiHidden/>
    <w:unhideWhenUsed/>
    <w:rsid w:val="00B57CB7"/>
    <w:rPr>
      <w:sz w:val="20"/>
      <w:szCs w:val="20"/>
    </w:rPr>
  </w:style>
  <w:style w:type="character" w:customStyle="1" w:styleId="EndnoteTextChar">
    <w:name w:val="Endnote Text Char"/>
    <w:basedOn w:val="DefaultParagraphFont"/>
    <w:link w:val="EndnoteText"/>
    <w:uiPriority w:val="99"/>
    <w:semiHidden/>
    <w:rsid w:val="00B57CB7"/>
    <w:rPr>
      <w:sz w:val="20"/>
      <w:szCs w:val="20"/>
    </w:rPr>
  </w:style>
  <w:style w:type="character" w:styleId="EndnoteReference">
    <w:name w:val="endnote reference"/>
    <w:basedOn w:val="DefaultParagraphFont"/>
    <w:uiPriority w:val="99"/>
    <w:semiHidden/>
    <w:unhideWhenUsed/>
    <w:rsid w:val="00B57C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2367">
      <w:bodyDiv w:val="1"/>
      <w:marLeft w:val="0"/>
      <w:marRight w:val="0"/>
      <w:marTop w:val="0"/>
      <w:marBottom w:val="0"/>
      <w:divBdr>
        <w:top w:val="none" w:sz="0" w:space="0" w:color="auto"/>
        <w:left w:val="none" w:sz="0" w:space="0" w:color="auto"/>
        <w:bottom w:val="none" w:sz="0" w:space="0" w:color="auto"/>
        <w:right w:val="none" w:sz="0" w:space="0" w:color="auto"/>
      </w:divBdr>
    </w:div>
    <w:div w:id="451091257">
      <w:bodyDiv w:val="1"/>
      <w:marLeft w:val="0"/>
      <w:marRight w:val="0"/>
      <w:marTop w:val="0"/>
      <w:marBottom w:val="0"/>
      <w:divBdr>
        <w:top w:val="none" w:sz="0" w:space="0" w:color="auto"/>
        <w:left w:val="none" w:sz="0" w:space="0" w:color="auto"/>
        <w:bottom w:val="none" w:sz="0" w:space="0" w:color="auto"/>
        <w:right w:val="none" w:sz="0" w:space="0" w:color="auto"/>
      </w:divBdr>
    </w:div>
    <w:div w:id="581381018">
      <w:bodyDiv w:val="1"/>
      <w:marLeft w:val="0"/>
      <w:marRight w:val="0"/>
      <w:marTop w:val="0"/>
      <w:marBottom w:val="0"/>
      <w:divBdr>
        <w:top w:val="none" w:sz="0" w:space="0" w:color="auto"/>
        <w:left w:val="none" w:sz="0" w:space="0" w:color="auto"/>
        <w:bottom w:val="none" w:sz="0" w:space="0" w:color="auto"/>
        <w:right w:val="none" w:sz="0" w:space="0" w:color="auto"/>
      </w:divBdr>
      <w:divsChild>
        <w:div w:id="2088723821">
          <w:marLeft w:val="0"/>
          <w:marRight w:val="0"/>
          <w:marTop w:val="0"/>
          <w:marBottom w:val="0"/>
          <w:divBdr>
            <w:top w:val="none" w:sz="0" w:space="0" w:color="auto"/>
            <w:left w:val="none" w:sz="0" w:space="0" w:color="auto"/>
            <w:bottom w:val="none" w:sz="0" w:space="0" w:color="auto"/>
            <w:right w:val="none" w:sz="0" w:space="0" w:color="auto"/>
          </w:divBdr>
          <w:divsChild>
            <w:div w:id="2054840924">
              <w:marLeft w:val="0"/>
              <w:marRight w:val="0"/>
              <w:marTop w:val="0"/>
              <w:marBottom w:val="0"/>
              <w:divBdr>
                <w:top w:val="none" w:sz="0" w:space="0" w:color="auto"/>
                <w:left w:val="none" w:sz="0" w:space="0" w:color="auto"/>
                <w:bottom w:val="none" w:sz="0" w:space="0" w:color="auto"/>
                <w:right w:val="none" w:sz="0" w:space="0" w:color="auto"/>
              </w:divBdr>
              <w:divsChild>
                <w:div w:id="21182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5411">
      <w:bodyDiv w:val="1"/>
      <w:marLeft w:val="0"/>
      <w:marRight w:val="0"/>
      <w:marTop w:val="0"/>
      <w:marBottom w:val="0"/>
      <w:divBdr>
        <w:top w:val="none" w:sz="0" w:space="0" w:color="auto"/>
        <w:left w:val="none" w:sz="0" w:space="0" w:color="auto"/>
        <w:bottom w:val="none" w:sz="0" w:space="0" w:color="auto"/>
        <w:right w:val="none" w:sz="0" w:space="0" w:color="auto"/>
      </w:divBdr>
      <w:divsChild>
        <w:div w:id="598682801">
          <w:marLeft w:val="0"/>
          <w:marRight w:val="0"/>
          <w:marTop w:val="0"/>
          <w:marBottom w:val="0"/>
          <w:divBdr>
            <w:top w:val="none" w:sz="0" w:space="0" w:color="auto"/>
            <w:left w:val="none" w:sz="0" w:space="0" w:color="auto"/>
            <w:bottom w:val="none" w:sz="0" w:space="0" w:color="auto"/>
            <w:right w:val="none" w:sz="0" w:space="0" w:color="auto"/>
          </w:divBdr>
          <w:divsChild>
            <w:div w:id="1170754403">
              <w:marLeft w:val="0"/>
              <w:marRight w:val="0"/>
              <w:marTop w:val="0"/>
              <w:marBottom w:val="0"/>
              <w:divBdr>
                <w:top w:val="none" w:sz="0" w:space="0" w:color="auto"/>
                <w:left w:val="none" w:sz="0" w:space="0" w:color="auto"/>
                <w:bottom w:val="none" w:sz="0" w:space="0" w:color="auto"/>
                <w:right w:val="none" w:sz="0" w:space="0" w:color="auto"/>
              </w:divBdr>
              <w:divsChild>
                <w:div w:id="21044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9122">
      <w:bodyDiv w:val="1"/>
      <w:marLeft w:val="0"/>
      <w:marRight w:val="0"/>
      <w:marTop w:val="0"/>
      <w:marBottom w:val="0"/>
      <w:divBdr>
        <w:top w:val="none" w:sz="0" w:space="0" w:color="auto"/>
        <w:left w:val="none" w:sz="0" w:space="0" w:color="auto"/>
        <w:bottom w:val="none" w:sz="0" w:space="0" w:color="auto"/>
        <w:right w:val="none" w:sz="0" w:space="0" w:color="auto"/>
      </w:divBdr>
      <w:divsChild>
        <w:div w:id="846553886">
          <w:marLeft w:val="0"/>
          <w:marRight w:val="0"/>
          <w:marTop w:val="0"/>
          <w:marBottom w:val="0"/>
          <w:divBdr>
            <w:top w:val="none" w:sz="0" w:space="0" w:color="auto"/>
            <w:left w:val="none" w:sz="0" w:space="0" w:color="auto"/>
            <w:bottom w:val="none" w:sz="0" w:space="0" w:color="auto"/>
            <w:right w:val="none" w:sz="0" w:space="0" w:color="auto"/>
          </w:divBdr>
          <w:divsChild>
            <w:div w:id="1418213291">
              <w:marLeft w:val="0"/>
              <w:marRight w:val="0"/>
              <w:marTop w:val="0"/>
              <w:marBottom w:val="0"/>
              <w:divBdr>
                <w:top w:val="none" w:sz="0" w:space="0" w:color="auto"/>
                <w:left w:val="none" w:sz="0" w:space="0" w:color="auto"/>
                <w:bottom w:val="none" w:sz="0" w:space="0" w:color="auto"/>
                <w:right w:val="none" w:sz="0" w:space="0" w:color="auto"/>
              </w:divBdr>
              <w:divsChild>
                <w:div w:id="1561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3824">
      <w:bodyDiv w:val="1"/>
      <w:marLeft w:val="0"/>
      <w:marRight w:val="0"/>
      <w:marTop w:val="0"/>
      <w:marBottom w:val="0"/>
      <w:divBdr>
        <w:top w:val="none" w:sz="0" w:space="0" w:color="auto"/>
        <w:left w:val="none" w:sz="0" w:space="0" w:color="auto"/>
        <w:bottom w:val="none" w:sz="0" w:space="0" w:color="auto"/>
        <w:right w:val="none" w:sz="0" w:space="0" w:color="auto"/>
      </w:divBdr>
      <w:divsChild>
        <w:div w:id="550265587">
          <w:marLeft w:val="0"/>
          <w:marRight w:val="0"/>
          <w:marTop w:val="0"/>
          <w:marBottom w:val="0"/>
          <w:divBdr>
            <w:top w:val="none" w:sz="0" w:space="0" w:color="auto"/>
            <w:left w:val="none" w:sz="0" w:space="0" w:color="auto"/>
            <w:bottom w:val="none" w:sz="0" w:space="0" w:color="auto"/>
            <w:right w:val="none" w:sz="0" w:space="0" w:color="auto"/>
          </w:divBdr>
          <w:divsChild>
            <w:div w:id="905529213">
              <w:marLeft w:val="0"/>
              <w:marRight w:val="0"/>
              <w:marTop w:val="0"/>
              <w:marBottom w:val="0"/>
              <w:divBdr>
                <w:top w:val="none" w:sz="0" w:space="0" w:color="auto"/>
                <w:left w:val="none" w:sz="0" w:space="0" w:color="auto"/>
                <w:bottom w:val="none" w:sz="0" w:space="0" w:color="auto"/>
                <w:right w:val="none" w:sz="0" w:space="0" w:color="auto"/>
              </w:divBdr>
              <w:divsChild>
                <w:div w:id="18357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3879">
      <w:bodyDiv w:val="1"/>
      <w:marLeft w:val="0"/>
      <w:marRight w:val="0"/>
      <w:marTop w:val="0"/>
      <w:marBottom w:val="0"/>
      <w:divBdr>
        <w:top w:val="none" w:sz="0" w:space="0" w:color="auto"/>
        <w:left w:val="none" w:sz="0" w:space="0" w:color="auto"/>
        <w:bottom w:val="none" w:sz="0" w:space="0" w:color="auto"/>
        <w:right w:val="none" w:sz="0" w:space="0" w:color="auto"/>
      </w:divBdr>
      <w:divsChild>
        <w:div w:id="1970434381">
          <w:marLeft w:val="0"/>
          <w:marRight w:val="0"/>
          <w:marTop w:val="0"/>
          <w:marBottom w:val="0"/>
          <w:divBdr>
            <w:top w:val="none" w:sz="0" w:space="0" w:color="auto"/>
            <w:left w:val="none" w:sz="0" w:space="0" w:color="auto"/>
            <w:bottom w:val="none" w:sz="0" w:space="0" w:color="auto"/>
            <w:right w:val="none" w:sz="0" w:space="0" w:color="auto"/>
          </w:divBdr>
          <w:divsChild>
            <w:div w:id="589772717">
              <w:marLeft w:val="0"/>
              <w:marRight w:val="0"/>
              <w:marTop w:val="0"/>
              <w:marBottom w:val="0"/>
              <w:divBdr>
                <w:top w:val="none" w:sz="0" w:space="0" w:color="auto"/>
                <w:left w:val="none" w:sz="0" w:space="0" w:color="auto"/>
                <w:bottom w:val="none" w:sz="0" w:space="0" w:color="auto"/>
                <w:right w:val="none" w:sz="0" w:space="0" w:color="auto"/>
              </w:divBdr>
              <w:divsChild>
                <w:div w:id="17189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7024">
      <w:bodyDiv w:val="1"/>
      <w:marLeft w:val="0"/>
      <w:marRight w:val="0"/>
      <w:marTop w:val="0"/>
      <w:marBottom w:val="0"/>
      <w:divBdr>
        <w:top w:val="none" w:sz="0" w:space="0" w:color="auto"/>
        <w:left w:val="none" w:sz="0" w:space="0" w:color="auto"/>
        <w:bottom w:val="none" w:sz="0" w:space="0" w:color="auto"/>
        <w:right w:val="none" w:sz="0" w:space="0" w:color="auto"/>
      </w:divBdr>
    </w:div>
    <w:div w:id="1393698745">
      <w:bodyDiv w:val="1"/>
      <w:marLeft w:val="0"/>
      <w:marRight w:val="0"/>
      <w:marTop w:val="0"/>
      <w:marBottom w:val="0"/>
      <w:divBdr>
        <w:top w:val="none" w:sz="0" w:space="0" w:color="auto"/>
        <w:left w:val="none" w:sz="0" w:space="0" w:color="auto"/>
        <w:bottom w:val="none" w:sz="0" w:space="0" w:color="auto"/>
        <w:right w:val="none" w:sz="0" w:space="0" w:color="auto"/>
      </w:divBdr>
      <w:divsChild>
        <w:div w:id="437915474">
          <w:marLeft w:val="0"/>
          <w:marRight w:val="0"/>
          <w:marTop w:val="0"/>
          <w:marBottom w:val="0"/>
          <w:divBdr>
            <w:top w:val="none" w:sz="0" w:space="0" w:color="auto"/>
            <w:left w:val="none" w:sz="0" w:space="0" w:color="auto"/>
            <w:bottom w:val="none" w:sz="0" w:space="0" w:color="auto"/>
            <w:right w:val="none" w:sz="0" w:space="0" w:color="auto"/>
          </w:divBdr>
          <w:divsChild>
            <w:div w:id="2030570884">
              <w:marLeft w:val="0"/>
              <w:marRight w:val="0"/>
              <w:marTop w:val="0"/>
              <w:marBottom w:val="0"/>
              <w:divBdr>
                <w:top w:val="none" w:sz="0" w:space="0" w:color="auto"/>
                <w:left w:val="none" w:sz="0" w:space="0" w:color="auto"/>
                <w:bottom w:val="none" w:sz="0" w:space="0" w:color="auto"/>
                <w:right w:val="none" w:sz="0" w:space="0" w:color="auto"/>
              </w:divBdr>
              <w:divsChild>
                <w:div w:id="19401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87090">
      <w:bodyDiv w:val="1"/>
      <w:marLeft w:val="0"/>
      <w:marRight w:val="0"/>
      <w:marTop w:val="0"/>
      <w:marBottom w:val="0"/>
      <w:divBdr>
        <w:top w:val="none" w:sz="0" w:space="0" w:color="auto"/>
        <w:left w:val="none" w:sz="0" w:space="0" w:color="auto"/>
        <w:bottom w:val="none" w:sz="0" w:space="0" w:color="auto"/>
        <w:right w:val="none" w:sz="0" w:space="0" w:color="auto"/>
      </w:divBdr>
      <w:divsChild>
        <w:div w:id="2067875774">
          <w:marLeft w:val="0"/>
          <w:marRight w:val="0"/>
          <w:marTop w:val="0"/>
          <w:marBottom w:val="0"/>
          <w:divBdr>
            <w:top w:val="none" w:sz="0" w:space="0" w:color="auto"/>
            <w:left w:val="none" w:sz="0" w:space="0" w:color="auto"/>
            <w:bottom w:val="none" w:sz="0" w:space="0" w:color="auto"/>
            <w:right w:val="none" w:sz="0" w:space="0" w:color="auto"/>
          </w:divBdr>
          <w:divsChild>
            <w:div w:id="1443383114">
              <w:marLeft w:val="0"/>
              <w:marRight w:val="0"/>
              <w:marTop w:val="0"/>
              <w:marBottom w:val="0"/>
              <w:divBdr>
                <w:top w:val="none" w:sz="0" w:space="0" w:color="auto"/>
                <w:left w:val="none" w:sz="0" w:space="0" w:color="auto"/>
                <w:bottom w:val="none" w:sz="0" w:space="0" w:color="auto"/>
                <w:right w:val="none" w:sz="0" w:space="0" w:color="auto"/>
              </w:divBdr>
              <w:divsChild>
                <w:div w:id="20745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3807">
      <w:bodyDiv w:val="1"/>
      <w:marLeft w:val="0"/>
      <w:marRight w:val="0"/>
      <w:marTop w:val="0"/>
      <w:marBottom w:val="0"/>
      <w:divBdr>
        <w:top w:val="none" w:sz="0" w:space="0" w:color="auto"/>
        <w:left w:val="none" w:sz="0" w:space="0" w:color="auto"/>
        <w:bottom w:val="none" w:sz="0" w:space="0" w:color="auto"/>
        <w:right w:val="none" w:sz="0" w:space="0" w:color="auto"/>
      </w:divBdr>
      <w:divsChild>
        <w:div w:id="1730569362">
          <w:marLeft w:val="0"/>
          <w:marRight w:val="0"/>
          <w:marTop w:val="0"/>
          <w:marBottom w:val="0"/>
          <w:divBdr>
            <w:top w:val="none" w:sz="0" w:space="0" w:color="auto"/>
            <w:left w:val="none" w:sz="0" w:space="0" w:color="auto"/>
            <w:bottom w:val="none" w:sz="0" w:space="0" w:color="auto"/>
            <w:right w:val="none" w:sz="0" w:space="0" w:color="auto"/>
          </w:divBdr>
          <w:divsChild>
            <w:div w:id="752703984">
              <w:marLeft w:val="0"/>
              <w:marRight w:val="0"/>
              <w:marTop w:val="0"/>
              <w:marBottom w:val="0"/>
              <w:divBdr>
                <w:top w:val="none" w:sz="0" w:space="0" w:color="auto"/>
                <w:left w:val="none" w:sz="0" w:space="0" w:color="auto"/>
                <w:bottom w:val="none" w:sz="0" w:space="0" w:color="auto"/>
                <w:right w:val="none" w:sz="0" w:space="0" w:color="auto"/>
              </w:divBdr>
              <w:divsChild>
                <w:div w:id="7110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4706">
      <w:bodyDiv w:val="1"/>
      <w:marLeft w:val="0"/>
      <w:marRight w:val="0"/>
      <w:marTop w:val="0"/>
      <w:marBottom w:val="0"/>
      <w:divBdr>
        <w:top w:val="none" w:sz="0" w:space="0" w:color="auto"/>
        <w:left w:val="none" w:sz="0" w:space="0" w:color="auto"/>
        <w:bottom w:val="none" w:sz="0" w:space="0" w:color="auto"/>
        <w:right w:val="none" w:sz="0" w:space="0" w:color="auto"/>
      </w:divBdr>
      <w:divsChild>
        <w:div w:id="1282152359">
          <w:marLeft w:val="0"/>
          <w:marRight w:val="0"/>
          <w:marTop w:val="0"/>
          <w:marBottom w:val="0"/>
          <w:divBdr>
            <w:top w:val="none" w:sz="0" w:space="0" w:color="auto"/>
            <w:left w:val="none" w:sz="0" w:space="0" w:color="auto"/>
            <w:bottom w:val="none" w:sz="0" w:space="0" w:color="auto"/>
            <w:right w:val="none" w:sz="0" w:space="0" w:color="auto"/>
          </w:divBdr>
          <w:divsChild>
            <w:div w:id="1055860387">
              <w:marLeft w:val="0"/>
              <w:marRight w:val="0"/>
              <w:marTop w:val="0"/>
              <w:marBottom w:val="0"/>
              <w:divBdr>
                <w:top w:val="none" w:sz="0" w:space="0" w:color="auto"/>
                <w:left w:val="none" w:sz="0" w:space="0" w:color="auto"/>
                <w:bottom w:val="none" w:sz="0" w:space="0" w:color="auto"/>
                <w:right w:val="none" w:sz="0" w:space="0" w:color="auto"/>
              </w:divBdr>
              <w:divsChild>
                <w:div w:id="5977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_rels/endnote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chart" Target="charts/chart2.xml"/><Relationship Id="rId1" Type="http://schemas.openxmlformats.org/officeDocument/2006/relationships/chart" Target="charts/chart1.xml"/><Relationship Id="rId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pple/Desktop/MSFT-Model-AnirudhSriniv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of Total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'Ratio Calculations'!$E$72</c:f>
              <c:strCache>
                <c:ptCount val="1"/>
                <c:pt idx="0">
                  <c:v>19-20</c:v>
                </c:pt>
              </c:strCache>
            </c:strRef>
          </c:tx>
          <c:spPr>
            <a:solidFill>
              <a:srgbClr val="002060"/>
            </a:solidFill>
            <a:ln>
              <a:noFill/>
            </a:ln>
            <a:effectLst/>
          </c:spPr>
          <c:invertIfNegative val="0"/>
          <c:cat>
            <c:strRef>
              <c:f>'Ratio Calculations'!$D$73:$D$82</c:f>
              <c:strCache>
                <c:ptCount val="10"/>
                <c:pt idx="0">
                  <c:v>Office Products and Cloud Services</c:v>
                </c:pt>
                <c:pt idx="2">
                  <c:v>Windows</c:v>
                </c:pt>
                <c:pt idx="3">
                  <c:v>Gaming</c:v>
                </c:pt>
                <c:pt idx="4">
                  <c:v>Linkedin</c:v>
                </c:pt>
                <c:pt idx="5">
                  <c:v>Search Advertising</c:v>
                </c:pt>
                <c:pt idx="6">
                  <c:v>Devices</c:v>
                </c:pt>
                <c:pt idx="7">
                  <c:v>Enterprise Services</c:v>
                </c:pt>
                <c:pt idx="8">
                  <c:v>Other</c:v>
                </c:pt>
                <c:pt idx="9">
                  <c:v>Commercial Cloud</c:v>
                </c:pt>
              </c:strCache>
            </c:strRef>
          </c:cat>
          <c:val>
            <c:numRef>
              <c:f>'Ratio Calculations'!$E$73:$E$82</c:f>
              <c:numCache>
                <c:formatCode>General</c:formatCode>
                <c:ptCount val="10"/>
                <c:pt idx="0" formatCode="0%">
                  <c:v>0.31286587977725955</c:v>
                </c:pt>
                <c:pt idx="2" formatCode="0%">
                  <c:v>0.23720908095759363</c:v>
                </c:pt>
                <c:pt idx="3" formatCode="0%">
                  <c:v>0.13818357051068489</c:v>
                </c:pt>
                <c:pt idx="4" formatCode="0%">
                  <c:v>9.1440197991528249E-2</c:v>
                </c:pt>
                <c:pt idx="5" formatCode="0%">
                  <c:v>6.1211984198753032E-2</c:v>
                </c:pt>
                <c:pt idx="6" formatCode="0%">
                  <c:v>5.0735329113321591E-2</c:v>
                </c:pt>
                <c:pt idx="7" formatCode="0%">
                  <c:v>4.0401456379991436E-2</c:v>
                </c:pt>
                <c:pt idx="8" formatCode="0%">
                  <c:v>4.1305744609966208E-2</c:v>
                </c:pt>
                <c:pt idx="9" formatCode="0%">
                  <c:v>2.6646756460901432E-2</c:v>
                </c:pt>
              </c:numCache>
            </c:numRef>
          </c:val>
          <c:extLst>
            <c:ext xmlns:c16="http://schemas.microsoft.com/office/drawing/2014/chart" uri="{C3380CC4-5D6E-409C-BE32-E72D297353CC}">
              <c16:uniqueId val="{00000000-5008-C742-B18E-ED74AA49B7B4}"/>
            </c:ext>
          </c:extLst>
        </c:ser>
        <c:ser>
          <c:idx val="1"/>
          <c:order val="1"/>
          <c:tx>
            <c:strRef>
              <c:f>'Ratio Calculations'!$F$72</c:f>
              <c:strCache>
                <c:ptCount val="1"/>
                <c:pt idx="0">
                  <c:v>20-21</c:v>
                </c:pt>
              </c:strCache>
            </c:strRef>
          </c:tx>
          <c:spPr>
            <a:solidFill>
              <a:srgbClr val="0070C0"/>
            </a:solidFill>
            <a:ln>
              <a:noFill/>
            </a:ln>
            <a:effectLst/>
          </c:spPr>
          <c:invertIfNegative val="0"/>
          <c:cat>
            <c:strRef>
              <c:f>'Ratio Calculations'!$D$73:$D$82</c:f>
              <c:strCache>
                <c:ptCount val="10"/>
                <c:pt idx="0">
                  <c:v>Office Products and Cloud Services</c:v>
                </c:pt>
                <c:pt idx="2">
                  <c:v>Windows</c:v>
                </c:pt>
                <c:pt idx="3">
                  <c:v>Gaming</c:v>
                </c:pt>
                <c:pt idx="4">
                  <c:v>Linkedin</c:v>
                </c:pt>
                <c:pt idx="5">
                  <c:v>Search Advertising</c:v>
                </c:pt>
                <c:pt idx="6">
                  <c:v>Devices</c:v>
                </c:pt>
                <c:pt idx="7">
                  <c:v>Enterprise Services</c:v>
                </c:pt>
                <c:pt idx="8">
                  <c:v>Other</c:v>
                </c:pt>
                <c:pt idx="9">
                  <c:v>Commercial Cloud</c:v>
                </c:pt>
              </c:strCache>
            </c:strRef>
          </c:cat>
          <c:val>
            <c:numRef>
              <c:f>'Ratio Calculations'!$F$73:$F$82</c:f>
              <c:numCache>
                <c:formatCode>General</c:formatCode>
                <c:ptCount val="10"/>
                <c:pt idx="0" formatCode="0%">
                  <c:v>0.28933328671817643</c:v>
                </c:pt>
                <c:pt idx="2" formatCode="0%">
                  <c:v>0.24693913225885397</c:v>
                </c:pt>
                <c:pt idx="3" formatCode="0%">
                  <c:v>0.15588574625039331</c:v>
                </c:pt>
                <c:pt idx="4" formatCode="0%">
                  <c:v>8.0935566199349718E-2</c:v>
                </c:pt>
                <c:pt idx="5" formatCode="0%">
                  <c:v>5.647659336433241E-2</c:v>
                </c:pt>
                <c:pt idx="6" formatCode="0%">
                  <c:v>5.4120197182113763E-2</c:v>
                </c:pt>
                <c:pt idx="7" formatCode="0%">
                  <c:v>4.5149110233192326E-2</c:v>
                </c:pt>
                <c:pt idx="8" formatCode="0%">
                  <c:v>4.4813481103380765E-2</c:v>
                </c:pt>
                <c:pt idx="9" formatCode="0%">
                  <c:v>2.6346886690207322E-2</c:v>
                </c:pt>
              </c:numCache>
            </c:numRef>
          </c:val>
          <c:extLst>
            <c:ext xmlns:c16="http://schemas.microsoft.com/office/drawing/2014/chart" uri="{C3380CC4-5D6E-409C-BE32-E72D297353CC}">
              <c16:uniqueId val="{00000001-5008-C742-B18E-ED74AA49B7B4}"/>
            </c:ext>
          </c:extLst>
        </c:ser>
        <c:dLbls>
          <c:showLegendKey val="0"/>
          <c:showVal val="0"/>
          <c:showCatName val="0"/>
          <c:showSerName val="0"/>
          <c:showPercent val="0"/>
          <c:showBubbleSize val="0"/>
        </c:dLbls>
        <c:gapWidth val="15"/>
        <c:axId val="1382186896"/>
        <c:axId val="1382296240"/>
      </c:barChart>
      <c:catAx>
        <c:axId val="13821868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296240"/>
        <c:crosses val="autoZero"/>
        <c:auto val="1"/>
        <c:lblAlgn val="ctr"/>
        <c:lblOffset val="100"/>
        <c:noMultiLvlLbl val="0"/>
      </c:catAx>
      <c:valAx>
        <c:axId val="1382296240"/>
        <c:scaling>
          <c:orientation val="minMax"/>
        </c:scaling>
        <c:delete val="0"/>
        <c:axPos val="b"/>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18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Revenue</a:t>
            </a:r>
            <a:r>
              <a:rPr lang="en-GB" baseline="0"/>
              <a:t> Growth per Sector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'Ratio Calculations'!$B$71</c:f>
              <c:strCache>
                <c:ptCount val="1"/>
                <c:pt idx="0">
                  <c:v>YoY% 19-20</c:v>
                </c:pt>
              </c:strCache>
            </c:strRef>
          </c:tx>
          <c:spPr>
            <a:solidFill>
              <a:srgbClr val="002060"/>
            </a:solidFill>
            <a:ln>
              <a:noFill/>
            </a:ln>
            <a:effectLst/>
          </c:spPr>
          <c:invertIfNegative val="0"/>
          <c:cat>
            <c:strRef>
              <c:f>'Ratio Calculations'!$A$72:$A$82</c:f>
              <c:strCache>
                <c:ptCount val="11"/>
                <c:pt idx="1">
                  <c:v>Office Products and Cloud Services</c:v>
                </c:pt>
                <c:pt idx="3">
                  <c:v>Windows</c:v>
                </c:pt>
                <c:pt idx="4">
                  <c:v>Gaming</c:v>
                </c:pt>
                <c:pt idx="5">
                  <c:v>Linkedin</c:v>
                </c:pt>
                <c:pt idx="6">
                  <c:v>Search Advertising</c:v>
                </c:pt>
                <c:pt idx="7">
                  <c:v>Devices</c:v>
                </c:pt>
                <c:pt idx="8">
                  <c:v>Enterprise Services</c:v>
                </c:pt>
                <c:pt idx="9">
                  <c:v>Other</c:v>
                </c:pt>
                <c:pt idx="10">
                  <c:v>Commercial Cloud</c:v>
                </c:pt>
              </c:strCache>
            </c:strRef>
          </c:cat>
          <c:val>
            <c:numRef>
              <c:f>'Ratio Calculations'!$B$72:$B$82</c:f>
              <c:numCache>
                <c:formatCode>0.00%</c:formatCode>
                <c:ptCount val="11"/>
                <c:pt idx="1">
                  <c:v>0.26843847710134261</c:v>
                </c:pt>
                <c:pt idx="3">
                  <c:v>0.11164972142654794</c:v>
                </c:pt>
                <c:pt idx="4">
                  <c:v>9.3111056631527411E-2</c:v>
                </c:pt>
                <c:pt idx="5">
                  <c:v>1.6599332513613119E-2</c:v>
                </c:pt>
                <c:pt idx="6">
                  <c:v>0.19588392063962101</c:v>
                </c:pt>
                <c:pt idx="7">
                  <c:v>1.4682747771368687E-2</c:v>
                </c:pt>
                <c:pt idx="8">
                  <c:v>5.9392945036915501E-2</c:v>
                </c:pt>
                <c:pt idx="9">
                  <c:v>4.6538210320052231E-2</c:v>
                </c:pt>
                <c:pt idx="10">
                  <c:v>0.22736156351791537</c:v>
                </c:pt>
              </c:numCache>
            </c:numRef>
          </c:val>
          <c:extLst>
            <c:ext xmlns:c16="http://schemas.microsoft.com/office/drawing/2014/chart" uri="{C3380CC4-5D6E-409C-BE32-E72D297353CC}">
              <c16:uniqueId val="{00000000-5D40-9B4C-B7CE-23F1E2573C97}"/>
            </c:ext>
          </c:extLst>
        </c:ser>
        <c:ser>
          <c:idx val="1"/>
          <c:order val="1"/>
          <c:tx>
            <c:strRef>
              <c:f>'Ratio Calculations'!$C$71</c:f>
              <c:strCache>
                <c:ptCount val="1"/>
                <c:pt idx="0">
                  <c:v>YoY 20-21</c:v>
                </c:pt>
              </c:strCache>
            </c:strRef>
          </c:tx>
          <c:spPr>
            <a:solidFill>
              <a:srgbClr val="0070C0"/>
            </a:solidFill>
            <a:ln>
              <a:noFill/>
            </a:ln>
            <a:effectLst/>
          </c:spPr>
          <c:invertIfNegative val="0"/>
          <c:cat>
            <c:strRef>
              <c:f>'Ratio Calculations'!$A$72:$A$82</c:f>
              <c:strCache>
                <c:ptCount val="11"/>
                <c:pt idx="1">
                  <c:v>Office Products and Cloud Services</c:v>
                </c:pt>
                <c:pt idx="3">
                  <c:v>Windows</c:v>
                </c:pt>
                <c:pt idx="4">
                  <c:v>Gaming</c:v>
                </c:pt>
                <c:pt idx="5">
                  <c:v>Linkedin</c:v>
                </c:pt>
                <c:pt idx="6">
                  <c:v>Search Advertising</c:v>
                </c:pt>
                <c:pt idx="7">
                  <c:v>Devices</c:v>
                </c:pt>
                <c:pt idx="8">
                  <c:v>Enterprise Services</c:v>
                </c:pt>
                <c:pt idx="9">
                  <c:v>Other</c:v>
                </c:pt>
                <c:pt idx="10">
                  <c:v>Commercial Cloud</c:v>
                </c:pt>
              </c:strCache>
            </c:strRef>
          </c:cat>
          <c:val>
            <c:numRef>
              <c:f>'Ratio Calculations'!$C$72:$C$82</c:f>
              <c:numCache>
                <c:formatCode>0.00%</c:formatCode>
                <c:ptCount val="11"/>
                <c:pt idx="1">
                  <c:v>0.27091036516107203</c:v>
                </c:pt>
                <c:pt idx="3">
                  <c:v>0.12900668252350211</c:v>
                </c:pt>
                <c:pt idx="4">
                  <c:v>4.184982506503987E-2</c:v>
                </c:pt>
                <c:pt idx="5">
                  <c:v>0.32786177105831538</c:v>
                </c:pt>
                <c:pt idx="6">
                  <c:v>0.27386405843753869</c:v>
                </c:pt>
                <c:pt idx="7">
                  <c:v>0.10180878552971584</c:v>
                </c:pt>
                <c:pt idx="8">
                  <c:v>5.1726808115223788E-2</c:v>
                </c:pt>
                <c:pt idx="9">
                  <c:v>8.3320330784833807E-2</c:v>
                </c:pt>
                <c:pt idx="10">
                  <c:v>0.18869426751592355</c:v>
                </c:pt>
              </c:numCache>
            </c:numRef>
          </c:val>
          <c:extLst>
            <c:ext xmlns:c16="http://schemas.microsoft.com/office/drawing/2014/chart" uri="{C3380CC4-5D6E-409C-BE32-E72D297353CC}">
              <c16:uniqueId val="{00000001-5D40-9B4C-B7CE-23F1E2573C97}"/>
            </c:ext>
          </c:extLst>
        </c:ser>
        <c:dLbls>
          <c:showLegendKey val="0"/>
          <c:showVal val="0"/>
          <c:showCatName val="0"/>
          <c:showSerName val="0"/>
          <c:showPercent val="0"/>
          <c:showBubbleSize val="0"/>
        </c:dLbls>
        <c:gapWidth val="0"/>
        <c:axId val="1383241904"/>
        <c:axId val="1366326864"/>
      </c:barChart>
      <c:catAx>
        <c:axId val="1383241904"/>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366326864"/>
        <c:crosses val="autoZero"/>
        <c:auto val="1"/>
        <c:lblAlgn val="ctr"/>
        <c:lblOffset val="100"/>
        <c:noMultiLvlLbl val="0"/>
      </c:catAx>
      <c:valAx>
        <c:axId val="1366326864"/>
        <c:scaling>
          <c:orientation val="minMax"/>
        </c:scaling>
        <c:delete val="0"/>
        <c:axPos val="l"/>
        <c:majorGridlines>
          <c:spPr>
            <a:ln w="9525" cap="flat" cmpd="sng" algn="ctr">
              <a:solidFill>
                <a:schemeClr val="accent1">
                  <a:alpha val="2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24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Revenue</a:t>
            </a:r>
            <a:r>
              <a:rPr lang="en-GB" baseline="0"/>
              <a:t> Growth Forecasts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 Calculations'!$A$46</c:f>
              <c:strCache>
                <c:ptCount val="1"/>
                <c:pt idx="0">
                  <c:v>Base Case</c:v>
                </c:pt>
              </c:strCache>
            </c:strRef>
          </c:tx>
          <c:spPr>
            <a:ln w="28575" cap="rnd">
              <a:solidFill>
                <a:srgbClr val="0070C0"/>
              </a:solidFill>
              <a:round/>
            </a:ln>
            <a:effectLst/>
          </c:spPr>
          <c:marker>
            <c:symbol val="none"/>
          </c:marker>
          <c:cat>
            <c:strRef>
              <c:f>'Ratio Calculations'!$B$45:$F$45</c:f>
              <c:strCache>
                <c:ptCount val="5"/>
                <c:pt idx="0">
                  <c:v>19-20</c:v>
                </c:pt>
                <c:pt idx="1">
                  <c:v>20-21</c:v>
                </c:pt>
                <c:pt idx="2">
                  <c:v>21-22</c:v>
                </c:pt>
                <c:pt idx="3">
                  <c:v>22-23</c:v>
                </c:pt>
                <c:pt idx="4">
                  <c:v>23-24</c:v>
                </c:pt>
              </c:strCache>
            </c:strRef>
          </c:cat>
          <c:val>
            <c:numRef>
              <c:f>'Ratio Calculations'!$B$46:$F$46</c:f>
              <c:numCache>
                <c:formatCode>0%</c:formatCode>
                <c:ptCount val="5"/>
                <c:pt idx="0">
                  <c:v>0.13645574247276371</c:v>
                </c:pt>
                <c:pt idx="1">
                  <c:v>0.17531727441177503</c:v>
                </c:pt>
                <c:pt idx="2">
                  <c:v>0.15068947125582244</c:v>
                </c:pt>
                <c:pt idx="3">
                  <c:v>0.15588650844226937</c:v>
                </c:pt>
                <c:pt idx="4">
                  <c:v>0.17531727441177503</c:v>
                </c:pt>
              </c:numCache>
            </c:numRef>
          </c:val>
          <c:smooth val="0"/>
          <c:extLst>
            <c:ext xmlns:c16="http://schemas.microsoft.com/office/drawing/2014/chart" uri="{C3380CC4-5D6E-409C-BE32-E72D297353CC}">
              <c16:uniqueId val="{00000000-F7DB-3349-BFAA-528D4BF4E8AC}"/>
            </c:ext>
          </c:extLst>
        </c:ser>
        <c:ser>
          <c:idx val="1"/>
          <c:order val="1"/>
          <c:tx>
            <c:strRef>
              <c:f>'Ratio Calculations'!$A$47</c:f>
              <c:strCache>
                <c:ptCount val="1"/>
                <c:pt idx="0">
                  <c:v>Worst Case</c:v>
                </c:pt>
              </c:strCache>
            </c:strRef>
          </c:tx>
          <c:spPr>
            <a:ln w="28575" cap="rnd">
              <a:solidFill>
                <a:srgbClr val="00B0F0"/>
              </a:solidFill>
              <a:round/>
            </a:ln>
            <a:effectLst/>
          </c:spPr>
          <c:marker>
            <c:symbol val="none"/>
          </c:marker>
          <c:cat>
            <c:strRef>
              <c:f>'Ratio Calculations'!$B$45:$F$45</c:f>
              <c:strCache>
                <c:ptCount val="5"/>
                <c:pt idx="0">
                  <c:v>19-20</c:v>
                </c:pt>
                <c:pt idx="1">
                  <c:v>20-21</c:v>
                </c:pt>
                <c:pt idx="2">
                  <c:v>21-22</c:v>
                </c:pt>
                <c:pt idx="3">
                  <c:v>22-23</c:v>
                </c:pt>
                <c:pt idx="4">
                  <c:v>23-24</c:v>
                </c:pt>
              </c:strCache>
            </c:strRef>
          </c:cat>
          <c:val>
            <c:numRef>
              <c:f>'Ratio Calculations'!$B$47:$F$47</c:f>
              <c:numCache>
                <c:formatCode>0%</c:formatCode>
                <c:ptCount val="5"/>
                <c:pt idx="0">
                  <c:v>0.13645574247276371</c:v>
                </c:pt>
                <c:pt idx="1">
                  <c:v>0.17531727441177503</c:v>
                </c:pt>
                <c:pt idx="2">
                  <c:v>0.12927493757624786</c:v>
                </c:pt>
                <c:pt idx="3">
                  <c:v>0.13447197476269479</c:v>
                </c:pt>
                <c:pt idx="4">
                  <c:v>0.15390274073220045</c:v>
                </c:pt>
              </c:numCache>
            </c:numRef>
          </c:val>
          <c:smooth val="0"/>
          <c:extLst>
            <c:ext xmlns:c16="http://schemas.microsoft.com/office/drawing/2014/chart" uri="{C3380CC4-5D6E-409C-BE32-E72D297353CC}">
              <c16:uniqueId val="{00000001-F7DB-3349-BFAA-528D4BF4E8AC}"/>
            </c:ext>
          </c:extLst>
        </c:ser>
        <c:ser>
          <c:idx val="2"/>
          <c:order val="2"/>
          <c:tx>
            <c:strRef>
              <c:f>'Ratio Calculations'!$A$48</c:f>
              <c:strCache>
                <c:ptCount val="1"/>
                <c:pt idx="0">
                  <c:v>Best Case</c:v>
                </c:pt>
              </c:strCache>
            </c:strRef>
          </c:tx>
          <c:spPr>
            <a:ln w="28575" cap="rnd">
              <a:solidFill>
                <a:srgbClr val="002060"/>
              </a:solidFill>
              <a:round/>
            </a:ln>
            <a:effectLst/>
          </c:spPr>
          <c:marker>
            <c:symbol val="none"/>
          </c:marker>
          <c:cat>
            <c:strRef>
              <c:f>'Ratio Calculations'!$B$45:$F$45</c:f>
              <c:strCache>
                <c:ptCount val="5"/>
                <c:pt idx="0">
                  <c:v>19-20</c:v>
                </c:pt>
                <c:pt idx="1">
                  <c:v>20-21</c:v>
                </c:pt>
                <c:pt idx="2">
                  <c:v>21-22</c:v>
                </c:pt>
                <c:pt idx="3">
                  <c:v>22-23</c:v>
                </c:pt>
                <c:pt idx="4">
                  <c:v>23-24</c:v>
                </c:pt>
              </c:strCache>
            </c:strRef>
          </c:cat>
          <c:val>
            <c:numRef>
              <c:f>'Ratio Calculations'!$B$48:$F$48</c:f>
              <c:numCache>
                <c:formatCode>0%</c:formatCode>
                <c:ptCount val="5"/>
                <c:pt idx="0">
                  <c:v>0.13645574247276371</c:v>
                </c:pt>
                <c:pt idx="1">
                  <c:v>0.17531727441177503</c:v>
                </c:pt>
                <c:pt idx="2">
                  <c:v>0.17210400493539701</c:v>
                </c:pt>
                <c:pt idx="3">
                  <c:v>0.17730104212184394</c:v>
                </c:pt>
                <c:pt idx="4">
                  <c:v>0.1967318080913496</c:v>
                </c:pt>
              </c:numCache>
            </c:numRef>
          </c:val>
          <c:smooth val="0"/>
          <c:extLst>
            <c:ext xmlns:c16="http://schemas.microsoft.com/office/drawing/2014/chart" uri="{C3380CC4-5D6E-409C-BE32-E72D297353CC}">
              <c16:uniqueId val="{00000002-F7DB-3349-BFAA-528D4BF4E8AC}"/>
            </c:ext>
          </c:extLst>
        </c:ser>
        <c:dLbls>
          <c:showLegendKey val="0"/>
          <c:showVal val="0"/>
          <c:showCatName val="0"/>
          <c:showSerName val="0"/>
          <c:showPercent val="0"/>
          <c:showBubbleSize val="0"/>
        </c:dLbls>
        <c:smooth val="0"/>
        <c:axId val="1378438784"/>
        <c:axId val="1365845840"/>
      </c:lineChart>
      <c:catAx>
        <c:axId val="137843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845840"/>
        <c:crosses val="autoZero"/>
        <c:auto val="1"/>
        <c:lblAlgn val="ctr"/>
        <c:lblOffset val="100"/>
        <c:noMultiLvlLbl val="0"/>
      </c:catAx>
      <c:valAx>
        <c:axId val="1365845840"/>
        <c:scaling>
          <c:orientation val="minMax"/>
        </c:scaling>
        <c:delete val="0"/>
        <c:axPos val="l"/>
        <c:majorGridlines>
          <c:spPr>
            <a:ln w="9525" cap="flat" cmpd="sng" algn="ctr">
              <a:solidFill>
                <a:srgbClr val="00B0F0">
                  <a:alpha val="20025"/>
                </a:srgb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43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88333333333333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'Ratio Calculations'!$B$113</c:f>
              <c:strCache>
                <c:ptCount val="1"/>
                <c:pt idx="0">
                  <c:v>Asset Turnover: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00B0F0"/>
                </a:solidFill>
                <a:prstDash val="sysDot"/>
              </a:ln>
              <a:effectLst/>
            </c:spPr>
            <c:trendlineType val="exp"/>
            <c:dispRSqr val="0"/>
            <c:dispEq val="0"/>
          </c:trendline>
          <c:xVal>
            <c:numRef>
              <c:f>'Ratio Calculations'!$A$114:$A$117</c:f>
              <c:numCache>
                <c:formatCode>General</c:formatCode>
                <c:ptCount val="4"/>
                <c:pt idx="1">
                  <c:v>2019</c:v>
                </c:pt>
                <c:pt idx="2">
                  <c:v>2020</c:v>
                </c:pt>
                <c:pt idx="3">
                  <c:v>2021</c:v>
                </c:pt>
              </c:numCache>
            </c:numRef>
          </c:xVal>
          <c:yVal>
            <c:numRef>
              <c:f>'Ratio Calculations'!$B$114:$B$117</c:f>
              <c:numCache>
                <c:formatCode>0%</c:formatCode>
                <c:ptCount val="4"/>
                <c:pt idx="1">
                  <c:v>0.59468463657714787</c:v>
                </c:pt>
                <c:pt idx="2">
                  <c:v>0.65251809064943833</c:v>
                </c:pt>
                <c:pt idx="3">
                  <c:v>0.7033853621793531</c:v>
                </c:pt>
              </c:numCache>
            </c:numRef>
          </c:yVal>
          <c:smooth val="0"/>
          <c:extLst>
            <c:ext xmlns:c16="http://schemas.microsoft.com/office/drawing/2014/chart" uri="{C3380CC4-5D6E-409C-BE32-E72D297353CC}">
              <c16:uniqueId val="{00000001-6E39-2244-BC59-741CFDAA2A08}"/>
            </c:ext>
          </c:extLst>
        </c:ser>
        <c:dLbls>
          <c:showLegendKey val="0"/>
          <c:showVal val="0"/>
          <c:showCatName val="0"/>
          <c:showSerName val="0"/>
          <c:showPercent val="0"/>
          <c:showBubbleSize val="0"/>
        </c:dLbls>
        <c:axId val="912529760"/>
        <c:axId val="915741904"/>
      </c:scatterChart>
      <c:valAx>
        <c:axId val="912529760"/>
        <c:scaling>
          <c:orientation val="minMax"/>
          <c:max val="2021"/>
          <c:min val="2019"/>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741904"/>
        <c:crosses val="autoZero"/>
        <c:crossBetween val="midCat"/>
      </c:valAx>
      <c:valAx>
        <c:axId val="915741904"/>
        <c:scaling>
          <c:orientation val="minMax"/>
        </c:scaling>
        <c:delete val="0"/>
        <c:axPos val="l"/>
        <c:majorGridlines>
          <c:spPr>
            <a:ln w="9525" cap="flat" cmpd="sng" algn="ctr">
              <a:solidFill>
                <a:srgbClr val="00B0F0">
                  <a:alpha val="9000"/>
                </a:srgb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529760"/>
        <c:crossesAt val="2018.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 Calculations'!$B$11</c:f>
              <c:strCache>
                <c:ptCount val="1"/>
                <c:pt idx="0">
                  <c:v>ROCE: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'Ratio Calculations'!$C$10:$E$10</c:f>
              <c:numCache>
                <c:formatCode>General</c:formatCode>
                <c:ptCount val="3"/>
                <c:pt idx="0">
                  <c:v>2019</c:v>
                </c:pt>
                <c:pt idx="1">
                  <c:v>2020</c:v>
                </c:pt>
                <c:pt idx="2">
                  <c:v>2021</c:v>
                </c:pt>
              </c:numCache>
            </c:numRef>
          </c:cat>
          <c:val>
            <c:numRef>
              <c:f>'Ratio Calculations'!$C$11:$E$11</c:f>
              <c:numCache>
                <c:formatCode>0.0%</c:formatCode>
                <c:ptCount val="3"/>
                <c:pt idx="0">
                  <c:v>0.21357121803846438</c:v>
                </c:pt>
                <c:pt idx="1">
                  <c:v>0.2429116030061004</c:v>
                </c:pt>
                <c:pt idx="2">
                  <c:v>0.29957735331793967</c:v>
                </c:pt>
              </c:numCache>
            </c:numRef>
          </c:val>
          <c:smooth val="0"/>
          <c:extLst>
            <c:ext xmlns:c16="http://schemas.microsoft.com/office/drawing/2014/chart" uri="{C3380CC4-5D6E-409C-BE32-E72D297353CC}">
              <c16:uniqueId val="{00000000-73F0-9C4F-9F06-B5744C1E5A52}"/>
            </c:ext>
          </c:extLst>
        </c:ser>
        <c:dLbls>
          <c:showLegendKey val="0"/>
          <c:showVal val="0"/>
          <c:showCatName val="0"/>
          <c:showSerName val="0"/>
          <c:showPercent val="0"/>
          <c:showBubbleSize val="0"/>
        </c:dLbls>
        <c:marker val="1"/>
        <c:smooth val="0"/>
        <c:axId val="1366141984"/>
        <c:axId val="917295856"/>
      </c:lineChart>
      <c:catAx>
        <c:axId val="136614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295856"/>
        <c:crosses val="autoZero"/>
        <c:auto val="1"/>
        <c:lblAlgn val="ctr"/>
        <c:lblOffset val="100"/>
        <c:noMultiLvlLbl val="0"/>
      </c:catAx>
      <c:valAx>
        <c:axId val="917295856"/>
        <c:scaling>
          <c:orientation val="minMax"/>
        </c:scaling>
        <c:delete val="0"/>
        <c:axPos val="l"/>
        <c:majorGridlines>
          <c:spPr>
            <a:ln w="9525" cap="flat" cmpd="sng" algn="ctr">
              <a:solidFill>
                <a:srgbClr val="00B0F0">
                  <a:alpha val="7000"/>
                </a:srgb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141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Adjusted ICR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 Calculations'!$C$123</c:f>
              <c:strCache>
                <c:ptCount val="1"/>
              </c:strCache>
            </c:strRef>
          </c:tx>
          <c:spPr>
            <a:ln w="28575" cap="rnd">
              <a:solidFill>
                <a:schemeClr val="accent1"/>
              </a:solidFill>
              <a:round/>
            </a:ln>
            <a:effectLst/>
          </c:spPr>
          <c:marker>
            <c:symbol val="none"/>
          </c:marker>
          <c:cat>
            <c:numRef>
              <c:f>'Ratio Calculations'!$B$124:$B$126</c:f>
              <c:numCache>
                <c:formatCode>General</c:formatCode>
                <c:ptCount val="3"/>
                <c:pt idx="0">
                  <c:v>2019</c:v>
                </c:pt>
                <c:pt idx="1">
                  <c:v>2020</c:v>
                </c:pt>
                <c:pt idx="2">
                  <c:v>2021</c:v>
                </c:pt>
              </c:numCache>
            </c:numRef>
          </c:cat>
          <c:val>
            <c:numRef>
              <c:f>'Ratio Calculations'!$C$124:$C$126</c:f>
              <c:numCache>
                <c:formatCode>0%</c:formatCode>
                <c:ptCount val="3"/>
                <c:pt idx="0">
                  <c:v>0.38342708304469508</c:v>
                </c:pt>
                <c:pt idx="1">
                  <c:v>0.55516604292008154</c:v>
                </c:pt>
                <c:pt idx="2">
                  <c:v>0.7942592783682455</c:v>
                </c:pt>
              </c:numCache>
            </c:numRef>
          </c:val>
          <c:smooth val="0"/>
          <c:extLst>
            <c:ext xmlns:c16="http://schemas.microsoft.com/office/drawing/2014/chart" uri="{C3380CC4-5D6E-409C-BE32-E72D297353CC}">
              <c16:uniqueId val="{00000000-B53C-F047-BA24-D52E54B8DFE8}"/>
            </c:ext>
          </c:extLst>
        </c:ser>
        <c:dLbls>
          <c:showLegendKey val="0"/>
          <c:showVal val="0"/>
          <c:showCatName val="0"/>
          <c:showSerName val="0"/>
          <c:showPercent val="0"/>
          <c:showBubbleSize val="0"/>
        </c:dLbls>
        <c:smooth val="0"/>
        <c:axId val="916256224"/>
        <c:axId val="944704528"/>
      </c:lineChart>
      <c:catAx>
        <c:axId val="91625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04528"/>
        <c:crosses val="autoZero"/>
        <c:auto val="1"/>
        <c:lblAlgn val="ctr"/>
        <c:lblOffset val="100"/>
        <c:noMultiLvlLbl val="0"/>
      </c:catAx>
      <c:valAx>
        <c:axId val="944704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256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'Ratio Calculations'!$B$20</c:f>
              <c:strCache>
                <c:ptCount val="1"/>
                <c:pt idx="0">
                  <c:v>ROE:</c:v>
                </c:pt>
              </c:strCache>
            </c:strRef>
          </c:tx>
          <c:spPr>
            <a:ln w="28575" cap="rnd">
              <a:solidFill>
                <a:schemeClr val="accent1"/>
              </a:solidFill>
              <a:round/>
            </a:ln>
            <a:effectLst/>
          </c:spPr>
          <c:marker>
            <c:symbol val="none"/>
          </c:marker>
          <c:val>
            <c:numRef>
              <c:f>'Ratio Calculations'!$C$20:$E$20</c:f>
              <c:numCache>
                <c:formatCode>0.0%</c:formatCode>
                <c:ptCount val="3"/>
                <c:pt idx="0">
                  <c:v>0.38346525945470539</c:v>
                </c:pt>
                <c:pt idx="1">
                  <c:v>0.37429841763592103</c:v>
                </c:pt>
                <c:pt idx="2">
                  <c:v>0.43152238217314137</c:v>
                </c:pt>
              </c:numCache>
            </c:numRef>
          </c:val>
          <c:smooth val="0"/>
          <c:extLst>
            <c:ext xmlns:c16="http://schemas.microsoft.com/office/drawing/2014/chart" uri="{C3380CC4-5D6E-409C-BE32-E72D297353CC}">
              <c16:uniqueId val="{00000000-08F7-7544-92F8-80A288FB5DBD}"/>
            </c:ext>
          </c:extLst>
        </c:ser>
        <c:dLbls>
          <c:showLegendKey val="0"/>
          <c:showVal val="0"/>
          <c:showCatName val="0"/>
          <c:showSerName val="0"/>
          <c:showPercent val="0"/>
          <c:showBubbleSize val="0"/>
        </c:dLbls>
        <c:smooth val="0"/>
        <c:axId val="921639872"/>
        <c:axId val="904782864"/>
      </c:lineChart>
      <c:catAx>
        <c:axId val="921639872"/>
        <c:scaling>
          <c:orientation val="minMax"/>
        </c:scaling>
        <c:delete val="0"/>
        <c:axPos val="b"/>
        <c:numFmt formatCode="0;[Red]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82864"/>
        <c:crosses val="autoZero"/>
        <c:auto val="1"/>
        <c:lblAlgn val="ctr"/>
        <c:lblOffset val="50"/>
        <c:tickLblSkip val="1"/>
        <c:noMultiLvlLbl val="0"/>
      </c:catAx>
      <c:valAx>
        <c:axId val="9047828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639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performance appraisal is aimed to demonstrate my understanding of Microsoft’s financial statements and their performance based on the financial model I have created. I will be discussing basic financial metrics like profitability and efficiency ratios in this document. </Abstract>
  <CompanyAddress/>
  <CompanyPhone/>
  <CompanyFax/>
  <CompanyEmail>A.Srinivas-20@student.lboro.ac.uk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C3BDF-8A43-3446-B87C-02EC6942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9</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(pg) Anirudh Srinivas</dc:creator>
  <cp:keywords/>
  <dc:description/>
  <cp:lastModifiedBy>(pg) Anirudh Srinivas</cp:lastModifiedBy>
  <cp:revision>3</cp:revision>
  <dcterms:created xsi:type="dcterms:W3CDTF">2021-10-22T02:36:00Z</dcterms:created>
  <dcterms:modified xsi:type="dcterms:W3CDTF">2021-10-25T20:12:00Z</dcterms:modified>
</cp:coreProperties>
</file>