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="http://schemas.microsoft.com/office/drawing/2014/main" xmlns:c="http://schemas.openxmlformats.org/drawingml/2006/chart" mc:Ignorable="w14 w15 w16se w16cid w16 w16cex wp14">
  <w:body>
    <w:p w:rsidRPr="000C6A15" w:rsidR="000C6A15" w:rsidP="000C6A15" w:rsidRDefault="003F76F7" w14:paraId="030EB2FA" w14:textId="77777777">
      <w:pPr>
        <w:jc w:val="center"/>
        <w:rPr>
          <w:rFonts w:ascii="Arial" w:hAnsi="Arial" w:cs="Arial"/>
          <w:sz w:val="48"/>
          <w:szCs w:val="48"/>
        </w:rPr>
      </w:pPr>
      <w:r w:rsidRPr="000C6A15">
        <w:rPr>
          <w:rFonts w:ascii="Arial" w:hAnsi="Arial" w:cs="Arial"/>
          <w:sz w:val="48"/>
          <w:szCs w:val="48"/>
        </w:rPr>
        <w:t xml:space="preserve">WACC </w:t>
      </w:r>
      <w:r w:rsidRPr="000C6A15" w:rsidR="00EA20B9">
        <w:rPr>
          <w:rFonts w:ascii="Arial" w:hAnsi="Arial" w:cs="Arial"/>
          <w:sz w:val="48"/>
          <w:szCs w:val="48"/>
        </w:rPr>
        <w:t>Estimation</w:t>
      </w:r>
    </w:p>
    <w:p w:rsidR="00105B53" w:rsidP="00D902AB" w:rsidRDefault="000C6A15" w14:paraId="2E1FFBD3" w14:textId="1851AAFB">
      <w:pPr>
        <w:pStyle w:val="Heading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Estimation</w:t>
      </w:r>
      <w:r w:rsidRPr="00EA20B9" w:rsidR="00EA20B9">
        <w:rPr>
          <w:rFonts w:ascii="Arial" w:hAnsi="Arial" w:cs="Arial"/>
          <w:sz w:val="28"/>
          <w:szCs w:val="28"/>
        </w:rPr>
        <w:t xml:space="preserve"> of cost of debt and effective corporate tax rate</w:t>
      </w:r>
      <w:r w:rsidRPr="00EA20B9" w:rsidR="0012411D">
        <w:rPr>
          <w:rFonts w:ascii="Arial" w:hAnsi="Arial" w:cs="Arial"/>
          <w:sz w:val="28"/>
          <w:szCs w:val="28"/>
        </w:rPr>
        <w:t>:</w:t>
      </w:r>
    </w:p>
    <w:p w:rsidRPr="00D902AB" w:rsidR="00D902AB" w:rsidP="00D902AB" w:rsidRDefault="00D902AB" w14:paraId="10191E2B" w14:textId="10B0B7E1">
      <w:pPr>
        <w:pStyle w:val="Heading2"/>
        <w:rPr>
          <w:rFonts w:ascii="Arial" w:hAnsi="Arial" w:cs="Arial"/>
        </w:rPr>
      </w:pPr>
      <w:r w:rsidRPr="00D902AB">
        <w:rPr>
          <w:rFonts w:ascii="Arial" w:hAnsi="Arial" w:cs="Arial"/>
        </w:rPr>
        <w:t>Cost of Debt:</w:t>
      </w:r>
    </w:p>
    <w:p w:rsidR="00E776E4" w:rsidP="005C5BF5" w:rsidRDefault="006E3D47" w14:paraId="59F9CE4D" w14:textId="7FF01C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first step in calculating the cost of debt, is identifying the total debt of company A through the Balance Sheet. This value equates to £143.3 million for</w:t>
      </w:r>
      <w:r w:rsidR="00B655B5">
        <w:rPr>
          <w:rFonts w:ascii="Arial" w:hAnsi="Arial" w:cs="Arial"/>
        </w:rPr>
        <w:t xml:space="preserve"> the latest financial year</w:t>
      </w:r>
      <w:r w:rsidR="00904D74">
        <w:rPr>
          <w:rFonts w:ascii="Arial" w:hAnsi="Arial" w:cs="Arial"/>
        </w:rPr>
        <w:t xml:space="preserve">. </w:t>
      </w:r>
      <w:r w:rsidR="00036774">
        <w:rPr>
          <w:rFonts w:ascii="Arial" w:hAnsi="Arial" w:cs="Arial"/>
        </w:rPr>
        <w:t>To</w:t>
      </w:r>
      <w:r w:rsidR="001E5743">
        <w:rPr>
          <w:rFonts w:ascii="Arial" w:hAnsi="Arial" w:cs="Arial"/>
        </w:rPr>
        <w:t xml:space="preserve"> determine how the cost of debt is calculated, the structure of the company’s debt needs to be examined. If the company issues bonds, </w:t>
      </w:r>
      <w:r w:rsidR="002A45E8">
        <w:rPr>
          <w:rFonts w:ascii="Arial" w:hAnsi="Arial" w:cs="Arial"/>
        </w:rPr>
        <w:t>he</w:t>
      </w:r>
      <w:r w:rsidR="001E5743">
        <w:rPr>
          <w:rFonts w:ascii="Arial" w:hAnsi="Arial" w:cs="Arial"/>
        </w:rPr>
        <w:t xml:space="preserve"> yields need to be accounted for. If the company has </w:t>
      </w:r>
      <w:r w:rsidR="007E75CA">
        <w:rPr>
          <w:rFonts w:ascii="Arial" w:hAnsi="Arial" w:cs="Arial"/>
        </w:rPr>
        <w:t>loans and makes interest payments, then these need to be accounted for.</w:t>
      </w:r>
    </w:p>
    <w:p w:rsidR="00731984" w:rsidP="005C5BF5" w:rsidRDefault="007E75CA" w14:paraId="1E6D5E1F" w14:textId="0AA67A4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the case of </w:t>
      </w:r>
      <w:proofErr w:type="gramStart"/>
      <w:r>
        <w:rPr>
          <w:rFonts w:ascii="Arial" w:hAnsi="Arial" w:cs="Arial"/>
        </w:rPr>
        <w:t>company</w:t>
      </w:r>
      <w:proofErr w:type="gramEnd"/>
      <w:r>
        <w:rPr>
          <w:rFonts w:ascii="Arial" w:hAnsi="Arial" w:cs="Arial"/>
        </w:rPr>
        <w:t xml:space="preserve"> A, the debt structure is exclusively loans</w:t>
      </w:r>
      <w:r w:rsidR="005A579C">
        <w:rPr>
          <w:rFonts w:ascii="Arial" w:hAnsi="Arial" w:cs="Arial"/>
        </w:rPr>
        <w:t xml:space="preserve">. This means that to determine the cost of debt is to divide </w:t>
      </w:r>
      <w:r w:rsidR="00E86C73">
        <w:rPr>
          <w:rFonts w:ascii="Arial" w:hAnsi="Arial" w:cs="Arial"/>
        </w:rPr>
        <w:t>the interest paid in the latest financial year by the total debt accrued by the company</w:t>
      </w:r>
      <w:r w:rsidR="00731984">
        <w:rPr>
          <w:rFonts w:ascii="Arial" w:hAnsi="Arial" w:cs="Arial"/>
        </w:rPr>
        <w:t>: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75116" w:rsidTr="00275116" w14:paraId="472B9075" w14:textId="77777777">
        <w:trPr>
          <w:trHeight w:val="533"/>
        </w:trPr>
        <w:tc>
          <w:tcPr>
            <w:tcW w:w="3005" w:type="dxa"/>
          </w:tcPr>
          <w:p w:rsidR="00275116" w:rsidP="005C5BF5" w:rsidRDefault="00275116" w14:paraId="48C551F1" w14:textId="7777777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005" w:type="dxa"/>
          </w:tcPr>
          <w:p w:rsidR="00275116" w:rsidP="00275116" w:rsidRDefault="00D67123" w14:paraId="54E56BE2" w14:textId="4F97342E">
            <w:pPr>
              <w:jc w:val="center"/>
              <w:rPr>
                <w:rFonts w:ascii="Arial" w:hAnsi="Arial" w:cs="Arial"/>
              </w:rPr>
            </w:pPr>
            <w:r w:rsidRPr="00752AF5">
              <w:rPr>
                <w:rFonts w:ascii="Arial" w:hAnsi="Arial" w:cs="Arial" w:eastAsiaTheme="minorEastAsia"/>
              </w:rPr>
              <w:t>𝑅</w:t>
            </w:r>
            <w:r w:rsidRPr="00752AF5">
              <w:rPr>
                <w:rFonts w:ascii="Arial" w:hAnsi="Arial" w:cs="Arial" w:eastAsiaTheme="minorEastAsia"/>
              </w:rPr>
              <w:t>𝑑</w:t>
            </w:r>
            <m:oMath>
              <m:r>
                <w:rPr>
                  <w:rFonts w:ascii="Cambria Math" w:hAnsi="Cambria Math" w:cs="Arial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Interest expenses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Total Debt</m:t>
                  </m:r>
                </m:den>
              </m:f>
            </m:oMath>
          </w:p>
        </w:tc>
        <w:tc>
          <w:tcPr>
            <w:tcW w:w="3006" w:type="dxa"/>
          </w:tcPr>
          <w:p w:rsidRPr="00275116" w:rsidR="00275116" w:rsidP="00275116" w:rsidRDefault="00275116" w14:paraId="00689512" w14:textId="6246B171">
            <w:pPr>
              <w:pStyle w:val="Caption"/>
              <w:keepNext/>
              <w:jc w:val="right"/>
              <w:rPr>
                <w:rFonts w:ascii="Arial" w:hAnsi="Arial" w:cs="Arial"/>
                <w:i w:val="0"/>
                <w:iCs w:val="0"/>
              </w:rPr>
            </w:pPr>
            <w:r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t>(</w:t>
            </w:r>
            <w:r w:rsidRPr="00275116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fldChar w:fldCharType="begin"/>
            </w:r>
            <w:r w:rsidRPr="00275116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instrText xml:space="preserve"> SEQ Equation \* ARABIC </w:instrText>
            </w:r>
            <w:r w:rsidRPr="00275116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fldChar w:fldCharType="separate"/>
            </w:r>
            <w:r w:rsidR="000C74F8">
              <w:rPr>
                <w:rFonts w:ascii="Arial" w:hAnsi="Arial" w:cs="Arial"/>
                <w:i w:val="0"/>
                <w:iCs w:val="0"/>
                <w:noProof/>
                <w:color w:val="auto"/>
                <w:sz w:val="22"/>
                <w:szCs w:val="22"/>
              </w:rPr>
              <w:t>1</w:t>
            </w:r>
            <w:r w:rsidRPr="00275116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t>)</w:t>
            </w:r>
          </w:p>
        </w:tc>
      </w:tr>
    </w:tbl>
    <w:p w:rsidRPr="00731984" w:rsidR="00731984" w:rsidP="00275116" w:rsidRDefault="00731984" w14:paraId="483B054A" w14:textId="0D88AE66">
      <w:pPr>
        <w:rPr>
          <w:rFonts w:ascii="Arial" w:hAnsi="Arial" w:cs="Arial" w:eastAsiaTheme="minorEastAsia"/>
        </w:rPr>
      </w:pPr>
    </w:p>
    <w:p w:rsidR="00731984" w:rsidP="00156887" w:rsidRDefault="00731984" w14:paraId="0A6BAE6B" w14:textId="2C8BCAE1">
      <w:pPr>
        <w:jc w:val="both"/>
        <w:rPr>
          <w:rFonts w:ascii="Arial" w:hAnsi="Arial" w:cs="Arial" w:eastAsiaTheme="minorEastAsia"/>
        </w:rPr>
      </w:pPr>
      <w:r>
        <w:rPr>
          <w:rFonts w:ascii="Arial" w:hAnsi="Arial" w:cs="Arial"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d</m:t>
            </m:r>
          </m:sub>
        </m:sSub>
      </m:oMath>
      <w:r>
        <w:rPr>
          <w:rFonts w:ascii="Arial" w:hAnsi="Arial" w:cs="Arial" w:eastAsiaTheme="minorEastAsia"/>
        </w:rPr>
        <w:t>, is the cost of debt.</w:t>
      </w:r>
    </w:p>
    <w:p w:rsidR="00731984" w:rsidP="00156887" w:rsidRDefault="00DA5A35" w14:paraId="2091779F" w14:textId="5DCE1C8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F473BA">
        <w:rPr>
          <w:rFonts w:ascii="Arial" w:hAnsi="Arial" w:cs="Arial"/>
        </w:rPr>
        <w:t xml:space="preserve"> calculated cost of debt is 2.99%.</w:t>
      </w:r>
    </w:p>
    <w:p w:rsidR="00D902AB" w:rsidP="00D902AB" w:rsidRDefault="00D902AB" w14:paraId="7B9467CB" w14:textId="26E4417A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Effective Corporate Tax Rate:</w:t>
      </w:r>
    </w:p>
    <w:p w:rsidR="005236C6" w:rsidP="00156887" w:rsidRDefault="0044133C" w14:paraId="2376C739" w14:textId="668AF2E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effective corporate tax rate of company A also needs to be e</w:t>
      </w:r>
      <w:r w:rsidR="00DE447F">
        <w:rPr>
          <w:rFonts w:ascii="Arial" w:hAnsi="Arial" w:cs="Arial"/>
        </w:rPr>
        <w:t xml:space="preserve">stimated. </w:t>
      </w:r>
      <w:r w:rsidR="00A3444F">
        <w:rPr>
          <w:rFonts w:ascii="Arial" w:hAnsi="Arial" w:cs="Arial"/>
        </w:rPr>
        <w:t xml:space="preserve">This can be done by dividing the year’s tax expenses by the company’s </w:t>
      </w:r>
      <w:r w:rsidR="000E2C2A">
        <w:rPr>
          <w:rFonts w:ascii="Arial" w:hAnsi="Arial" w:cs="Arial"/>
        </w:rPr>
        <w:t>earnings</w:t>
      </w:r>
      <w:r w:rsidR="00A3444F">
        <w:rPr>
          <w:rFonts w:ascii="Arial" w:hAnsi="Arial" w:cs="Arial"/>
        </w:rPr>
        <w:t xml:space="preserve"> before interest and tax</w:t>
      </w:r>
      <w:r w:rsidR="00BF0E9D">
        <w:rPr>
          <w:rFonts w:ascii="Arial" w:hAnsi="Arial" w:cs="Arial"/>
        </w:rPr>
        <w:t xml:space="preserve"> (</w:t>
      </w:r>
      <w:r w:rsidR="000E2C2A">
        <w:rPr>
          <w:rFonts w:ascii="Arial" w:hAnsi="Arial" w:cs="Arial"/>
        </w:rPr>
        <w:t>E</w:t>
      </w:r>
      <w:r w:rsidR="00BF0E9D">
        <w:rPr>
          <w:rFonts w:ascii="Arial" w:hAnsi="Arial" w:cs="Arial"/>
        </w:rPr>
        <w:t>BIT</w:t>
      </w:r>
      <w:r w:rsidR="000E2C2A">
        <w:rPr>
          <w:rFonts w:ascii="Arial" w:hAnsi="Arial" w:cs="Arial"/>
        </w:rPr>
        <w:t>)</w:t>
      </w:r>
      <w:r w:rsidR="005236C6">
        <w:rPr>
          <w:rFonts w:ascii="Arial" w:hAnsi="Arial" w:cs="Arial"/>
        </w:rPr>
        <w:t>: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75116" w:rsidTr="00813A56" w14:paraId="5C95DB37" w14:textId="77777777">
        <w:trPr>
          <w:trHeight w:val="533"/>
        </w:trPr>
        <w:tc>
          <w:tcPr>
            <w:tcW w:w="3005" w:type="dxa"/>
          </w:tcPr>
          <w:p w:rsidR="00275116" w:rsidP="00813A56" w:rsidRDefault="00275116" w14:paraId="641B437E" w14:textId="7777777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005" w:type="dxa"/>
          </w:tcPr>
          <w:p w:rsidRPr="00275116" w:rsidR="00275116" w:rsidP="00813A56" w:rsidRDefault="00D67123" w14:paraId="04F9287F" w14:textId="45275D2D">
            <w:pPr>
              <w:jc w:val="center"/>
              <w:rPr>
                <w:rFonts w:ascii="Arial" w:hAnsi="Arial" w:cs="Arial"/>
              </w:rPr>
            </w:pPr>
            <w:r w:rsidRPr="00752AF5">
              <w:rPr>
                <w:rFonts w:ascii="Arial" w:hAnsi="Arial" w:cs="Arial" w:eastAsiaTheme="minorEastAsia"/>
              </w:rPr>
              <w:t>𝑇</w:t>
            </w:r>
            <w:r w:rsidRPr="00752AF5">
              <w:rPr>
                <w:rFonts w:ascii="Arial" w:hAnsi="Arial" w:cs="Arial" w:eastAsiaTheme="minorEastAsia"/>
              </w:rPr>
              <w:t>𝑐</w:t>
            </w:r>
            <m:oMath>
              <m:r>
                <w:rPr>
                  <w:rFonts w:ascii="Cambria Math" w:hAnsi="Cambria Math" w:cs="Arial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Tax expenses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EBIT</m:t>
                  </m:r>
                </m:den>
              </m:f>
            </m:oMath>
          </w:p>
        </w:tc>
        <w:tc>
          <w:tcPr>
            <w:tcW w:w="3006" w:type="dxa"/>
          </w:tcPr>
          <w:p w:rsidRPr="00275116" w:rsidR="00275116" w:rsidP="00275116" w:rsidRDefault="00275116" w14:paraId="65933CF1" w14:textId="34A30035">
            <w:pPr>
              <w:pStyle w:val="Caption"/>
              <w:keepNext/>
              <w:jc w:val="right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t>(</w:t>
            </w:r>
            <w:r w:rsidRPr="00275116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fldChar w:fldCharType="begin"/>
            </w:r>
            <w:r w:rsidRPr="00275116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instrText xml:space="preserve"> SEQ Equation \* ARABIC </w:instrText>
            </w:r>
            <w:r w:rsidRPr="00275116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fldChar w:fldCharType="separate"/>
            </w:r>
            <w:r w:rsidR="000C74F8">
              <w:rPr>
                <w:rFonts w:ascii="Arial" w:hAnsi="Arial" w:cs="Arial"/>
                <w:i w:val="0"/>
                <w:iCs w:val="0"/>
                <w:noProof/>
                <w:color w:val="auto"/>
                <w:sz w:val="22"/>
                <w:szCs w:val="22"/>
              </w:rPr>
              <w:t>2</w:t>
            </w:r>
            <w:r w:rsidRPr="00275116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t>)</w:t>
            </w:r>
          </w:p>
        </w:tc>
      </w:tr>
    </w:tbl>
    <w:p w:rsidRPr="004846AE" w:rsidR="005236C6" w:rsidRDefault="005236C6" w14:paraId="1C23D6A0" w14:textId="79D395D1">
      <w:pPr>
        <w:rPr>
          <w:rFonts w:ascii="Arial" w:hAnsi="Arial" w:cs="Arial" w:eastAsiaTheme="minorEastAsia"/>
        </w:rPr>
      </w:pPr>
    </w:p>
    <w:p w:rsidR="004846AE" w:rsidP="00156887" w:rsidRDefault="00EC60AE" w14:paraId="795EB421" w14:textId="6A999AFC">
      <w:pPr>
        <w:jc w:val="both"/>
        <w:rPr>
          <w:rFonts w:ascii="Arial" w:hAnsi="Arial" w:cs="Arial" w:eastAsiaTheme="minorEastAsia"/>
        </w:rPr>
      </w:pPr>
      <w:r>
        <w:rPr>
          <w:rFonts w:ascii="Arial" w:hAnsi="Arial" w:cs="Arial"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c</m:t>
            </m:r>
          </m:sub>
        </m:sSub>
      </m:oMath>
      <w:r>
        <w:rPr>
          <w:rFonts w:ascii="Arial" w:hAnsi="Arial" w:cs="Arial" w:eastAsiaTheme="minorEastAsia"/>
        </w:rPr>
        <w:t>, is the effective corporate tax rate.</w:t>
      </w:r>
    </w:p>
    <w:p w:rsidR="00EC60AE" w:rsidP="00156887" w:rsidRDefault="006531A5" w14:paraId="426607B4" w14:textId="26361F38">
      <w:pPr>
        <w:jc w:val="both"/>
        <w:rPr>
          <w:rFonts w:ascii="Arial" w:hAnsi="Arial" w:cs="Arial" w:eastAsiaTheme="minorEastAsia"/>
        </w:rPr>
      </w:pPr>
      <w:r>
        <w:rPr>
          <w:rFonts w:ascii="Arial" w:hAnsi="Arial" w:cs="Arial" w:eastAsiaTheme="minorEastAsia"/>
        </w:rPr>
        <w:t xml:space="preserve">The corporate tax rate was estimated to be </w:t>
      </w:r>
      <w:r w:rsidR="007669E7">
        <w:rPr>
          <w:rFonts w:ascii="Arial" w:hAnsi="Arial" w:cs="Arial" w:eastAsiaTheme="minorEastAsia"/>
        </w:rPr>
        <w:t>22.</w:t>
      </w:r>
      <w:r w:rsidR="00E27B09">
        <w:rPr>
          <w:rFonts w:ascii="Arial" w:hAnsi="Arial" w:cs="Arial" w:eastAsiaTheme="minorEastAsia"/>
        </w:rPr>
        <w:t>64%. Thi</w:t>
      </w:r>
      <w:r w:rsidR="00E9198F">
        <w:rPr>
          <w:rFonts w:ascii="Arial" w:hAnsi="Arial" w:cs="Arial" w:eastAsiaTheme="minorEastAsia"/>
        </w:rPr>
        <w:t>s</w:t>
      </w:r>
      <w:r w:rsidR="00E27B09">
        <w:rPr>
          <w:rFonts w:ascii="Arial" w:hAnsi="Arial" w:cs="Arial" w:eastAsiaTheme="minorEastAsia"/>
        </w:rPr>
        <w:t xml:space="preserve"> was calculated using the </w:t>
      </w:r>
      <w:r w:rsidR="0067705C">
        <w:rPr>
          <w:rFonts w:ascii="Arial" w:hAnsi="Arial" w:cs="Arial" w:eastAsiaTheme="minorEastAsia"/>
        </w:rPr>
        <w:t xml:space="preserve">total current tax expense found in the Income Statement. </w:t>
      </w:r>
      <w:r w:rsidR="00E9198F">
        <w:rPr>
          <w:rFonts w:ascii="Arial" w:hAnsi="Arial" w:cs="Arial" w:eastAsiaTheme="minorEastAsia"/>
        </w:rPr>
        <w:t>It</w:t>
      </w:r>
      <w:r w:rsidR="005E6828">
        <w:rPr>
          <w:rFonts w:ascii="Arial" w:hAnsi="Arial" w:cs="Arial" w:eastAsiaTheme="minorEastAsia"/>
        </w:rPr>
        <w:t xml:space="preserve"> includes deferred tax since the current tax is calculated based on</w:t>
      </w:r>
      <w:r w:rsidR="00156887">
        <w:rPr>
          <w:rFonts w:ascii="Arial" w:hAnsi="Arial" w:cs="Arial" w:eastAsiaTheme="minorEastAsia"/>
        </w:rPr>
        <w:t xml:space="preserve"> earnings for this financial year. </w:t>
      </w:r>
      <w:r w:rsidR="00182B4D">
        <w:rPr>
          <w:rFonts w:ascii="Arial" w:hAnsi="Arial" w:cs="Arial" w:eastAsiaTheme="minorEastAsia"/>
        </w:rPr>
        <w:t>The amount of deferred tax</w:t>
      </w:r>
      <w:r w:rsidR="00DB1CF9">
        <w:rPr>
          <w:rFonts w:ascii="Arial" w:hAnsi="Arial" w:cs="Arial" w:eastAsiaTheme="minorEastAsia"/>
        </w:rPr>
        <w:t xml:space="preserve"> does not influence the taxation rate, it only influences how much tax will be paid by company A </w:t>
      </w:r>
      <w:r w:rsidR="00AB679A">
        <w:rPr>
          <w:rFonts w:ascii="Arial" w:hAnsi="Arial" w:cs="Arial" w:eastAsiaTheme="minorEastAsia"/>
        </w:rPr>
        <w:t>at the end of this year.</w:t>
      </w:r>
    </w:p>
    <w:p w:rsidRPr="00EA20B9" w:rsidR="00EA20B9" w:rsidP="00D902AB" w:rsidRDefault="00EA20B9" w14:paraId="3FB7D9B5" w14:textId="3D919EF8">
      <w:pPr>
        <w:pStyle w:val="Heading1"/>
        <w:rPr>
          <w:rFonts w:ascii="Arial" w:hAnsi="Arial" w:cs="Arial" w:eastAsiaTheme="minorEastAsia"/>
          <w:sz w:val="28"/>
          <w:szCs w:val="28"/>
        </w:rPr>
      </w:pPr>
      <w:r w:rsidRPr="00EA20B9">
        <w:rPr>
          <w:rFonts w:ascii="Arial" w:hAnsi="Arial" w:cs="Arial" w:eastAsiaTheme="minorEastAsia"/>
          <w:sz w:val="28"/>
          <w:szCs w:val="28"/>
        </w:rPr>
        <w:t>WACC estimation:</w:t>
      </w:r>
    </w:p>
    <w:p w:rsidR="005F032D" w:rsidP="00156887" w:rsidRDefault="00B7551A" w14:paraId="40934EC9" w14:textId="4683A3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Weighted Average Cost of Capital</w:t>
      </w:r>
      <w:r w:rsidR="003645B6">
        <w:rPr>
          <w:rFonts w:ascii="Arial" w:hAnsi="Arial" w:cs="Arial"/>
        </w:rPr>
        <w:t xml:space="preserve"> (WACC) is vital to evaluating the profitability and viability of a new </w:t>
      </w:r>
      <w:r w:rsidR="00F8645F">
        <w:rPr>
          <w:rFonts w:ascii="Arial" w:hAnsi="Arial" w:cs="Arial"/>
        </w:rPr>
        <w:t>project. It</w:t>
      </w:r>
      <w:r w:rsidR="003645B6">
        <w:rPr>
          <w:rFonts w:ascii="Arial" w:hAnsi="Arial" w:cs="Arial"/>
        </w:rPr>
        <w:t xml:space="preserve"> is the discount rate used when calculating the Net Present Value (N</w:t>
      </w:r>
      <w:r w:rsidR="00ED30A4">
        <w:rPr>
          <w:rFonts w:ascii="Arial" w:hAnsi="Arial" w:cs="Arial"/>
        </w:rPr>
        <w:t>PV</w:t>
      </w:r>
      <w:r w:rsidR="003645B6">
        <w:rPr>
          <w:rFonts w:ascii="Arial" w:hAnsi="Arial" w:cs="Arial"/>
        </w:rPr>
        <w:t>)</w:t>
      </w:r>
      <w:r w:rsidR="00F8645F">
        <w:rPr>
          <w:rFonts w:ascii="Arial" w:hAnsi="Arial" w:cs="Arial"/>
        </w:rPr>
        <w:t>, which is ultimately used to decide</w:t>
      </w:r>
      <w:r w:rsidR="005F032D">
        <w:rPr>
          <w:rFonts w:ascii="Arial" w:hAnsi="Arial" w:cs="Arial"/>
        </w:rPr>
        <w:t xml:space="preserve"> whether</w:t>
      </w:r>
      <w:r w:rsidR="00F8645F">
        <w:rPr>
          <w:rFonts w:ascii="Arial" w:hAnsi="Arial" w:cs="Arial"/>
        </w:rPr>
        <w:t xml:space="preserve"> a project should </w:t>
      </w:r>
      <w:r w:rsidR="005F032D">
        <w:rPr>
          <w:rFonts w:ascii="Arial" w:hAnsi="Arial" w:cs="Arial"/>
        </w:rPr>
        <w:t>be chosen.</w:t>
      </w:r>
    </w:p>
    <w:p w:rsidR="00262402" w:rsidP="00156887" w:rsidRDefault="002F27FE" w14:paraId="607427D1" w14:textId="2A2186C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To</w:t>
      </w:r>
      <w:r w:rsidR="005F032D">
        <w:rPr>
          <w:rFonts w:ascii="Arial" w:hAnsi="Arial" w:cs="Arial"/>
        </w:rPr>
        <w:t xml:space="preserve"> </w:t>
      </w:r>
      <w:r w:rsidR="003848AF">
        <w:rPr>
          <w:rFonts w:ascii="Arial" w:hAnsi="Arial" w:cs="Arial"/>
        </w:rPr>
        <w:t>estimate</w:t>
      </w:r>
      <w:r w:rsidR="005F032D">
        <w:rPr>
          <w:rFonts w:ascii="Arial" w:hAnsi="Arial" w:cs="Arial"/>
        </w:rPr>
        <w:t xml:space="preserve"> the WACC, </w:t>
      </w:r>
      <w:r w:rsidR="003848AF">
        <w:rPr>
          <w:rFonts w:ascii="Arial" w:hAnsi="Arial" w:cs="Arial"/>
        </w:rPr>
        <w:t>the equation below was used: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835"/>
        <w:gridCol w:w="3686"/>
        <w:gridCol w:w="2495"/>
      </w:tblGrid>
      <w:tr w:rsidR="00C54496" w:rsidTr="00C54496" w14:paraId="06AD6366" w14:textId="77777777">
        <w:trPr>
          <w:trHeight w:val="533"/>
        </w:trPr>
        <w:tc>
          <w:tcPr>
            <w:tcW w:w="2835" w:type="dxa"/>
          </w:tcPr>
          <w:p w:rsidR="00C54496" w:rsidP="00813A56" w:rsidRDefault="00C54496" w14:paraId="64EA3FFD" w14:textId="7777777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686" w:type="dxa"/>
          </w:tcPr>
          <w:p w:rsidRPr="00275116" w:rsidR="00C54496" w:rsidP="00813A56" w:rsidRDefault="00D67123" w14:paraId="09A5CBEB" w14:textId="515B2504">
            <w:pPr>
              <w:jc w:val="center"/>
              <w:rPr>
                <w:rFonts w:ascii="Arial" w:hAnsi="Arial" w:cs="Arial"/>
              </w:rPr>
            </w:pPr>
            <w:r w:rsidRPr="00752AF5">
              <w:rPr>
                <w:rFonts w:ascii="Arial" w:hAnsi="Arial" w:cs="Arial" w:eastAsiaTheme="minorEastAsia"/>
              </w:rPr>
              <w:t>𝑅</w:t>
            </w:r>
            <w:r w:rsidRPr="00752AF5">
              <w:rPr>
                <w:rFonts w:ascii="Arial" w:hAnsi="Arial" w:cs="Arial" w:eastAsiaTheme="minorEastAsia"/>
              </w:rPr>
              <w:t>𝑝</w:t>
            </w:r>
            <m:oMath>
              <m:r>
                <w:rPr>
                  <w:rFonts w:ascii="Cambria Math" w:hAnsi="Cambria Math" w:cs="Arial"/>
                </w:rPr>
                <m:t>=</m:t>
              </m:r>
              <m:e>
                <m:r>
                  <w:rPr>
                    <w:rFonts w:ascii="Cambria Math" w:hAnsi="Cambria Math" w:cs="Arial"/>
                  </w:rPr>
                  <m:t>1-</m:t>
                </m:r>
                <m:ctrlPr>
                  <w:r w:rsidRPr="00752AF5">
                    <w:rPr>
                      <w:rFonts w:ascii="Arial" w:eastAsiaTheme="minorEastAsia" w:hAnsi="Arial" w:cs="Arial"/>
                    </w:rPr>
                  </w:r>
                </m:ctrlPr>
              </m:e>
            </m:oMath>
            <w:r w:rsidRPr="00752AF5">
              <w:rPr>
                <w:rFonts w:ascii="Arial" w:hAnsi="Arial" w:cs="Arial" w:eastAsiaTheme="minorEastAsia"/>
              </w:rPr>
              <w:t>𝐺</w:t>
            </w:r>
            <w:r w:rsidRPr="00752AF5">
              <w:rPr>
                <w:rFonts w:ascii="Arial" w:hAnsi="Arial" w:cs="Arial" w:eastAsiaTheme="minorEastAsia"/>
              </w:rPr>
              <w:t>𝑅</w:t>
            </w:r>
            <w:r w:rsidRPr="00752AF5">
              <w:rPr>
                <w:rFonts w:ascii="Arial" w:hAnsi="Arial" w:cs="Arial" w:eastAsiaTheme="minorEastAsia"/>
              </w:rPr>
              <w:t>𝑒</w:t>
            </w:r>
            <m:oMath>
              <m:r>
                <w:rPr>
                  <w:rFonts w:ascii="Cambria Math" w:hAnsi="Cambria Math" w:cs="Arial"/>
                </w:rPr>
                <m:t>+G</m:t>
              </m:r>
            </m:oMath>
            <w:r w:rsidRPr="00752AF5">
              <w:rPr>
                <w:rFonts w:ascii="Arial" w:hAnsi="Arial" w:cs="Arial" w:eastAsiaTheme="minorEastAsia"/>
              </w:rPr>
              <w:t>𝑅</w:t>
            </w:r>
            <w:r w:rsidRPr="00752AF5">
              <w:rPr>
                <w:rFonts w:ascii="Arial" w:hAnsi="Arial" w:cs="Arial" w:eastAsiaTheme="minorEastAsia"/>
              </w:rPr>
              <w:t>𝑑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c</m:t>
                      </m:r>
                    </m:sub>
                  </m:sSub>
                </m:e>
              </m:d>
            </m:oMath>
          </w:p>
        </w:tc>
        <w:tc>
          <w:tcPr>
            <w:tcW w:w="2495" w:type="dxa"/>
          </w:tcPr>
          <w:p w:rsidRPr="00275116" w:rsidR="00C54496" w:rsidP="00C54496" w:rsidRDefault="00C54496" w14:paraId="388CA547" w14:textId="77DACFEE">
            <w:pPr>
              <w:pStyle w:val="Caption"/>
              <w:keepNext/>
              <w:jc w:val="right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t>(</w:t>
            </w:r>
            <w:r w:rsidRPr="00C54496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fldChar w:fldCharType="begin"/>
            </w:r>
            <w:r w:rsidRPr="00C54496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instrText xml:space="preserve"> SEQ Equation \* ARABIC </w:instrText>
            </w:r>
            <w:r w:rsidRPr="00C54496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fldChar w:fldCharType="separate"/>
            </w:r>
            <w:r w:rsidR="000C74F8">
              <w:rPr>
                <w:rFonts w:ascii="Arial" w:hAnsi="Arial" w:cs="Arial"/>
                <w:i w:val="0"/>
                <w:iCs w:val="0"/>
                <w:noProof/>
                <w:color w:val="auto"/>
                <w:sz w:val="22"/>
                <w:szCs w:val="22"/>
              </w:rPr>
              <w:t>3</w:t>
            </w:r>
            <w:r w:rsidRPr="00C54496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t>)</w:t>
            </w:r>
          </w:p>
        </w:tc>
      </w:tr>
    </w:tbl>
    <w:p w:rsidRPr="00262402" w:rsidR="003848AF" w:rsidP="00C54496" w:rsidRDefault="003848AF" w14:paraId="405AF87F" w14:textId="4E709D9B">
      <w:pPr>
        <w:rPr>
          <w:rFonts w:ascii="Arial" w:hAnsi="Arial" w:cs="Arial" w:eastAsiaTheme="minorEastAsia"/>
        </w:rPr>
      </w:pPr>
    </w:p>
    <w:p w:rsidR="00262402" w:rsidP="00262402" w:rsidRDefault="00262402" w14:paraId="0BFFC178" w14:textId="620C42B8">
      <w:pPr>
        <w:jc w:val="both"/>
        <w:rPr>
          <w:rFonts w:ascii="Arial" w:hAnsi="Arial" w:cs="Arial" w:eastAsiaTheme="minorEastAsia"/>
        </w:rPr>
      </w:pPr>
      <w:r>
        <w:rPr>
          <w:rFonts w:ascii="Arial" w:hAnsi="Arial" w:cs="Arial"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p</m:t>
            </m:r>
          </m:sub>
        </m:sSub>
      </m:oMath>
      <w:r>
        <w:rPr>
          <w:rFonts w:ascii="Arial" w:hAnsi="Arial" w:cs="Arial" w:eastAsiaTheme="minorEastAsia"/>
        </w:rPr>
        <w:t xml:space="preserve"> is the WACC, </w:t>
      </w:r>
      <m:oMath>
        <m:r>
          <w:rPr>
            <w:rFonts w:ascii="Cambria Math" w:hAnsi="Cambria Math" w:cs="Arial"/>
          </w:rPr>
          <m:t>G</m:t>
        </m:r>
      </m:oMath>
      <w:r w:rsidR="0099287A">
        <w:rPr>
          <w:rFonts w:ascii="Arial" w:hAnsi="Arial" w:cs="Arial" w:eastAsiaTheme="minorEastAsia"/>
        </w:rPr>
        <w:t xml:space="preserve"> is gearing ratio,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e</m:t>
            </m:r>
          </m:sub>
        </m:sSub>
      </m:oMath>
      <w:r w:rsidR="0099287A">
        <w:rPr>
          <w:rFonts w:ascii="Arial" w:hAnsi="Arial" w:cs="Arial" w:eastAsiaTheme="minorEastAsia"/>
        </w:rPr>
        <w:t xml:space="preserve"> is cost of equity,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d</m:t>
            </m:r>
          </m:sub>
        </m:sSub>
      </m:oMath>
      <w:r w:rsidR="0099287A">
        <w:rPr>
          <w:rFonts w:ascii="Arial" w:hAnsi="Arial" w:cs="Arial" w:eastAsiaTheme="minorEastAsia"/>
        </w:rPr>
        <w:t xml:space="preserve"> is cost of debt and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c</m:t>
            </m:r>
          </m:sub>
        </m:sSub>
      </m:oMath>
      <w:r w:rsidR="0099287A">
        <w:rPr>
          <w:rFonts w:ascii="Arial" w:hAnsi="Arial" w:cs="Arial" w:eastAsiaTheme="minorEastAsia"/>
        </w:rPr>
        <w:t xml:space="preserve"> is the effective corporate tax rate.</w:t>
      </w:r>
    </w:p>
    <w:p w:rsidR="00C373CC" w:rsidP="00262402" w:rsidRDefault="00C373CC" w14:paraId="25265076" w14:textId="77777777">
      <w:pPr>
        <w:jc w:val="both"/>
        <w:rPr>
          <w:rFonts w:ascii="Arial" w:hAnsi="Arial" w:cs="Arial" w:eastAsiaTheme="minorEastAsia"/>
        </w:rPr>
      </w:pPr>
    </w:p>
    <w:p w:rsidR="00C373CC" w:rsidP="00C373CC" w:rsidRDefault="00C373CC" w14:paraId="25B68D0F" w14:textId="77777777">
      <w:pPr>
        <w:pStyle w:val="Heading2"/>
        <w:rPr>
          <w:rFonts w:ascii="Arial" w:hAnsi="Arial" w:cs="Arial" w:eastAsiaTheme="minorEastAsia"/>
        </w:rPr>
      </w:pPr>
      <w:r>
        <w:rPr>
          <w:rFonts w:ascii="Arial" w:hAnsi="Arial" w:cs="Arial" w:eastAsiaTheme="minorEastAsia"/>
        </w:rPr>
        <w:t>Gearing:</w:t>
      </w:r>
    </w:p>
    <w:p w:rsidR="0099287A" w:rsidP="00262402" w:rsidRDefault="0078136E" w14:paraId="383ED5E2" w14:textId="02BCF2AD">
      <w:pPr>
        <w:jc w:val="both"/>
        <w:rPr>
          <w:rFonts w:ascii="Arial" w:hAnsi="Arial" w:cs="Arial" w:eastAsiaTheme="minorEastAsia"/>
        </w:rPr>
      </w:pPr>
      <w:r>
        <w:rPr>
          <w:rFonts w:ascii="Arial" w:hAnsi="Arial" w:cs="Arial" w:eastAsiaTheme="minorEastAsia"/>
        </w:rPr>
        <w:t xml:space="preserve">The first step for the calculation of WACC is the </w:t>
      </w:r>
      <w:r w:rsidR="00FA4478">
        <w:rPr>
          <w:rFonts w:ascii="Arial" w:hAnsi="Arial" w:cs="Arial" w:eastAsiaTheme="minorEastAsia"/>
        </w:rPr>
        <w:t>evaluation of the gearing ratio of company A: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18"/>
        <w:gridCol w:w="8521"/>
        <w:gridCol w:w="287"/>
      </w:tblGrid>
      <w:tr w:rsidR="00C54496" w:rsidTr="00813A56" w14:paraId="54223F51" w14:textId="77777777">
        <w:trPr>
          <w:trHeight w:val="533"/>
        </w:trPr>
        <w:tc>
          <w:tcPr>
            <w:tcW w:w="2835" w:type="dxa"/>
          </w:tcPr>
          <w:p w:rsidR="00C54496" w:rsidP="00813A56" w:rsidRDefault="00C54496" w14:paraId="2948B47B" w14:textId="7777777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686" w:type="dxa"/>
          </w:tcPr>
          <w:p w:rsidRPr="00275116" w:rsidR="00C54496" w:rsidP="00813A56" w:rsidRDefault="00C54496" w14:paraId="65408C27" w14:textId="218FD4E3">
            <w:pPr>
              <w:jc w:val="center"/>
              <w:rPr>
                <w:rFonts w:ascii="Arial" w:hAnsi="Arial" w:cs="Arial"/>
              </w:rPr>
            </w:pPr>
            <m:oMath>
              <m:r>
                <w:rPr>
                  <w:rFonts w:ascii="Cambria Math" w:hAnsi="Cambria Math" w:cs="Arial"/>
                </w:rPr>
                <m:t>G=</m:t>
              </m:r>
              <m:num>
                <m:ctrlPr>
                  <w:r w:rsidRPr="00752AF5">
                    <w:rPr>
                      <w:rFonts w:ascii="Arial" w:eastAsiaTheme="minorEastAsia" w:hAnsi="Arial" w:cs="Arial"/>
                    </w:rPr>
                  </w:r>
                </m:ctrlPr>
              </m:num>
            </m:oMath>
            <w:r w:rsidRPr="00752AF5">
              <w:rPr>
                <w:rFonts w:ascii="Arial" w:hAnsi="Arial" w:cs="Arial" w:eastAsiaTheme="minorEastAsia"/>
              </w:rPr>
              <w:t>𝐷</w:t>
            </w:r>
            <m:oMath>
              <m:e>
                <m:r>
                  <w:rPr>
                    <w:rFonts w:ascii="Cambria Math" w:hAnsi="Cambria Math" w:cs="Arial"/>
                  </w:rPr>
                  <m:t>D+</m:t>
                </m:r>
                <m:ctrlPr>
                  <w:r w:rsidRPr="00752AF5">
                    <w:rPr>
                      <w:rFonts w:ascii="Arial" w:eastAsiaTheme="minorEastAsia" w:hAnsi="Arial" w:cs="Arial"/>
                    </w:rPr>
                  </w:r>
                </m:ctrlPr>
              </m:e>
            </m:oMath>
            <w:r w:rsidRPr="00752AF5">
              <w:rPr>
                <w:rFonts w:ascii="Arial" w:hAnsi="Arial" w:cs="Arial" w:eastAsiaTheme="minorEastAsia"/>
              </w:rPr>
              <w:t>𝐸</w:t>
            </w:r>
          </w:p>
        </w:tc>
        <w:tc>
          <w:tcPr>
            <w:tcW w:w="2495" w:type="dxa"/>
          </w:tcPr>
          <w:p w:rsidRPr="00C54496" w:rsidR="00C54496" w:rsidP="00C54496" w:rsidRDefault="00C54496" w14:paraId="784D9A38" w14:textId="145EFF4F">
            <w:pPr>
              <w:pStyle w:val="Caption"/>
              <w:keepNext/>
              <w:jc w:val="right"/>
            </w:pPr>
            <w:r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t>(</w:t>
            </w:r>
            <w:r w:rsidRPr="00C54496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fldChar w:fldCharType="begin"/>
            </w:r>
            <w:r w:rsidRPr="00C54496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instrText xml:space="preserve"> SEQ Equation \* ARABIC </w:instrText>
            </w:r>
            <w:r w:rsidRPr="00C54496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fldChar w:fldCharType="separate"/>
            </w:r>
            <w:r w:rsidR="000C74F8">
              <w:rPr>
                <w:rFonts w:ascii="Arial" w:hAnsi="Arial" w:cs="Arial"/>
                <w:i w:val="0"/>
                <w:iCs w:val="0"/>
                <w:noProof/>
                <w:color w:val="auto"/>
                <w:sz w:val="22"/>
                <w:szCs w:val="22"/>
              </w:rPr>
              <w:t>4</w:t>
            </w:r>
            <w:r w:rsidRPr="00C54496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t>)</w:t>
            </w:r>
          </w:p>
        </w:tc>
      </w:tr>
    </w:tbl>
    <w:p w:rsidRPr="00FA4478" w:rsidR="00FA4478" w:rsidP="00262402" w:rsidRDefault="00FA4478" w14:paraId="02E73029" w14:textId="0D80CEF2">
      <w:pPr>
        <w:jc w:val="both"/>
        <w:rPr>
          <w:rFonts w:ascii="Arial" w:hAnsi="Arial" w:cs="Arial" w:eastAsiaTheme="minorEastAsia"/>
        </w:rPr>
      </w:pPr>
    </w:p>
    <w:p w:rsidR="007C3BB1" w:rsidP="00262402" w:rsidRDefault="00FA4478" w14:paraId="27C0A643" w14:textId="17B282EC">
      <w:pPr>
        <w:jc w:val="both"/>
        <w:rPr>
          <w:rFonts w:ascii="Arial" w:hAnsi="Arial" w:cs="Arial" w:eastAsiaTheme="minorEastAsia"/>
        </w:rPr>
      </w:pPr>
      <w:r>
        <w:rPr>
          <w:rFonts w:ascii="Arial" w:hAnsi="Arial" w:cs="Arial" w:eastAsiaTheme="minorEastAsia"/>
        </w:rPr>
        <w:t xml:space="preserve">Where </w:t>
      </w:r>
      <m:oMath>
        <m:r>
          <w:rPr>
            <w:rFonts w:ascii="Cambria Math" w:hAnsi="Cambria Math" w:cs="Arial"/>
          </w:rPr>
          <m:t>D</m:t>
        </m:r>
      </m:oMath>
      <w:r>
        <w:rPr>
          <w:rFonts w:ascii="Arial" w:hAnsi="Arial" w:cs="Arial" w:eastAsiaTheme="minorEastAsia"/>
        </w:rPr>
        <w:t xml:space="preserve"> is total debt </w:t>
      </w:r>
      <w:r w:rsidR="007C3BB1">
        <w:rPr>
          <w:rFonts w:ascii="Arial" w:hAnsi="Arial" w:cs="Arial" w:eastAsiaTheme="minorEastAsia"/>
        </w:rPr>
        <w:t xml:space="preserve">and </w:t>
      </w:r>
      <m:oMath>
        <m:r>
          <w:rPr>
            <w:rFonts w:ascii="Cambria Math" w:hAnsi="Cambria Math" w:cs="Arial"/>
          </w:rPr>
          <m:t>E</m:t>
        </m:r>
      </m:oMath>
      <w:r w:rsidR="007C3BB1">
        <w:rPr>
          <w:rFonts w:ascii="Arial" w:hAnsi="Arial" w:cs="Arial" w:eastAsiaTheme="minorEastAsia"/>
        </w:rPr>
        <w:t xml:space="preserve"> is total </w:t>
      </w:r>
      <w:proofErr w:type="gramStart"/>
      <w:r w:rsidR="007C3BB1">
        <w:rPr>
          <w:rFonts w:ascii="Arial" w:hAnsi="Arial" w:cs="Arial" w:eastAsiaTheme="minorEastAsia"/>
        </w:rPr>
        <w:t>equit</w:t>
      </w:r>
      <w:r w:rsidR="00E53B6F">
        <w:rPr>
          <w:rFonts w:ascii="Arial" w:hAnsi="Arial" w:cs="Arial" w:eastAsiaTheme="minorEastAsia"/>
        </w:rPr>
        <w:t>y.</w:t>
      </w:r>
      <w:proofErr w:type="gramEnd"/>
    </w:p>
    <w:p w:rsidR="00E53B6F" w:rsidP="00262402" w:rsidRDefault="00171EA5" w14:paraId="365561B1" w14:textId="3D91AB57">
      <w:pPr>
        <w:jc w:val="both"/>
        <w:rPr>
          <w:rFonts w:ascii="Arial" w:hAnsi="Arial" w:cs="Arial" w:eastAsiaTheme="minorEastAsia"/>
        </w:rPr>
      </w:pPr>
      <w:r>
        <w:rPr>
          <w:rFonts w:ascii="Arial" w:hAnsi="Arial" w:cs="Arial" w:eastAsiaTheme="minorEastAsia"/>
        </w:rPr>
        <w:t xml:space="preserve">Using the Thomson-Reuters Eikon database, the total debt was evaluated at </w:t>
      </w:r>
      <w:r w:rsidR="0087679A">
        <w:rPr>
          <w:rFonts w:ascii="Arial" w:hAnsi="Arial" w:cs="Arial" w:eastAsiaTheme="minorEastAsia"/>
        </w:rPr>
        <w:t xml:space="preserve">£143.9 million, while the total equity was given to be </w:t>
      </w:r>
      <w:r w:rsidR="00457760">
        <w:rPr>
          <w:rFonts w:ascii="Arial" w:hAnsi="Arial" w:cs="Arial" w:eastAsiaTheme="minorEastAsia"/>
        </w:rPr>
        <w:t>£508.8 million</w:t>
      </w:r>
      <w:r w:rsidR="00A405D2">
        <w:rPr>
          <w:rFonts w:ascii="Arial" w:hAnsi="Arial" w:cs="Arial" w:eastAsiaTheme="minorEastAsia"/>
        </w:rPr>
        <w:t xml:space="preserve"> (both values were obtained from the Balance Sheet </w:t>
      </w:r>
      <w:r w:rsidR="00D21657">
        <w:rPr>
          <w:rFonts w:ascii="Arial" w:hAnsi="Arial" w:cs="Arial" w:eastAsiaTheme="minorEastAsia"/>
        </w:rPr>
        <w:t>for 2020)</w:t>
      </w:r>
      <w:r w:rsidR="00457760">
        <w:rPr>
          <w:rFonts w:ascii="Arial" w:hAnsi="Arial" w:cs="Arial" w:eastAsiaTheme="minorEastAsia"/>
        </w:rPr>
        <w:t>. This gives a gearing ratio</w:t>
      </w:r>
      <w:r w:rsidR="000E4AA3">
        <w:rPr>
          <w:rFonts w:ascii="Arial" w:hAnsi="Arial" w:cs="Arial" w:eastAsiaTheme="minorEastAsia"/>
        </w:rPr>
        <w:t xml:space="preserve">, </w:t>
      </w:r>
      <m:oMath>
        <m:r>
          <w:rPr>
            <w:rFonts w:ascii="Cambria Math" w:hAnsi="Cambria Math" w:cs="Arial"/>
          </w:rPr>
          <m:t>G</m:t>
        </m:r>
      </m:oMath>
      <w:r w:rsidR="00C606A3">
        <w:rPr>
          <w:rFonts w:ascii="Arial" w:hAnsi="Arial" w:cs="Arial" w:eastAsiaTheme="minorEastAsia"/>
        </w:rPr>
        <w:t>,</w:t>
      </w:r>
      <w:r w:rsidR="00457760">
        <w:rPr>
          <w:rFonts w:ascii="Arial" w:hAnsi="Arial" w:cs="Arial" w:eastAsiaTheme="minorEastAsia"/>
        </w:rPr>
        <w:t xml:space="preserve"> of </w:t>
      </w:r>
      <w:r w:rsidR="000E4AA3">
        <w:rPr>
          <w:rFonts w:ascii="Arial" w:hAnsi="Arial" w:cs="Arial" w:eastAsiaTheme="minorEastAsia"/>
        </w:rPr>
        <w:t>22</w:t>
      </w:r>
      <w:r w:rsidR="00991DF5">
        <w:rPr>
          <w:rFonts w:ascii="Arial" w:hAnsi="Arial" w:cs="Arial" w:eastAsiaTheme="minorEastAsia"/>
        </w:rPr>
        <w:t>.05</w:t>
      </w:r>
      <w:r w:rsidR="000E4AA3">
        <w:rPr>
          <w:rFonts w:ascii="Arial" w:hAnsi="Arial" w:cs="Arial" w:eastAsiaTheme="minorEastAsia"/>
        </w:rPr>
        <w:t>%.</w:t>
      </w:r>
    </w:p>
    <w:p w:rsidRPr="00C373CC" w:rsidR="00C373CC" w:rsidP="00FA2F4A" w:rsidRDefault="00C373CC" w14:paraId="79F4B2EF" w14:textId="77777777">
      <w:pPr>
        <w:pStyle w:val="Heading2"/>
        <w:rPr>
          <w:rFonts w:ascii="Arial" w:hAnsi="Arial" w:cs="Arial" w:eastAsiaTheme="minorEastAsia"/>
        </w:rPr>
      </w:pPr>
      <w:r w:rsidRPr="00C373CC">
        <w:rPr>
          <w:rFonts w:ascii="Arial" w:hAnsi="Arial" w:cs="Arial" w:eastAsiaTheme="minorEastAsia"/>
        </w:rPr>
        <w:t>Cost of Equity:</w:t>
      </w:r>
    </w:p>
    <w:p w:rsidR="00221C86" w:rsidP="00262402" w:rsidRDefault="00AC7DB9" w14:paraId="1B5DB24A" w14:textId="1F4D77AC">
      <w:pPr>
        <w:jc w:val="both"/>
        <w:rPr>
          <w:rFonts w:ascii="Arial" w:hAnsi="Arial" w:cs="Arial" w:eastAsiaTheme="minorEastAsia"/>
        </w:rPr>
      </w:pPr>
      <w:r>
        <w:rPr>
          <w:rFonts w:ascii="Arial" w:hAnsi="Arial" w:cs="Arial" w:eastAsiaTheme="minorEastAsia"/>
        </w:rPr>
        <w:t>T</w:t>
      </w:r>
      <w:r w:rsidR="00C606A3">
        <w:rPr>
          <w:rFonts w:ascii="Arial" w:hAnsi="Arial" w:cs="Arial" w:eastAsiaTheme="minorEastAsia"/>
        </w:rPr>
        <w:t>he cost of equity</w:t>
      </w:r>
      <w:r w:rsidR="00250005">
        <w:rPr>
          <w:rFonts w:ascii="Arial" w:hAnsi="Arial" w:cs="Arial" w:eastAsiaTheme="minorEastAsia"/>
        </w:rPr>
        <w:t xml:space="preserve">, </w:t>
      </w:r>
      <m:oMath>
        <m:sSub>
          <m:sSubPr>
            <m:ctrlPr>
              <w:rPr>
                <w:rFonts w:ascii="Cambria Math" w:hAnsi="Cambria Math" w:cs="Arial" w:eastAsiaTheme="minorEastAsia"/>
                <w:i/>
              </w:rPr>
            </m:ctrlPr>
          </m:sSubPr>
          <m:e>
            <m:r>
              <w:rPr>
                <w:rFonts w:ascii="Cambria Math" w:hAnsi="Cambria Math" w:cs="Arial" w:eastAsiaTheme="minorEastAsia"/>
              </w:rPr>
              <m:t>R</m:t>
            </m:r>
          </m:e>
          <m:sub>
            <m:r>
              <w:rPr>
                <w:rFonts w:ascii="Cambria Math" w:hAnsi="Cambria Math" w:cs="Arial" w:eastAsiaTheme="minorEastAsia"/>
              </w:rPr>
              <m:t>e</m:t>
            </m:r>
          </m:sub>
        </m:sSub>
      </m:oMath>
      <w:r w:rsidR="00250005">
        <w:rPr>
          <w:rFonts w:ascii="Arial" w:hAnsi="Arial" w:cs="Arial" w:eastAsiaTheme="minorEastAsia"/>
        </w:rPr>
        <w:t>,</w:t>
      </w:r>
      <w:r w:rsidR="00C606A3">
        <w:rPr>
          <w:rFonts w:ascii="Arial" w:hAnsi="Arial" w:cs="Arial" w:eastAsiaTheme="minorEastAsia"/>
        </w:rPr>
        <w:t xml:space="preserve"> of company A </w:t>
      </w:r>
      <w:r>
        <w:rPr>
          <w:rFonts w:ascii="Arial" w:hAnsi="Arial" w:cs="Arial" w:eastAsiaTheme="minorEastAsia"/>
        </w:rPr>
        <w:t xml:space="preserve">also </w:t>
      </w:r>
      <w:r w:rsidR="00C606A3">
        <w:rPr>
          <w:rFonts w:ascii="Arial" w:hAnsi="Arial" w:cs="Arial" w:eastAsiaTheme="minorEastAsia"/>
        </w:rPr>
        <w:t>needs to be evaluat</w:t>
      </w:r>
      <w:r>
        <w:rPr>
          <w:rFonts w:ascii="Arial" w:hAnsi="Arial" w:cs="Arial" w:eastAsiaTheme="minorEastAsia"/>
        </w:rPr>
        <w:t xml:space="preserve">ed </w:t>
      </w:r>
      <w:r w:rsidR="00305BD0">
        <w:rPr>
          <w:rFonts w:ascii="Arial" w:hAnsi="Arial" w:cs="Arial" w:eastAsiaTheme="minorEastAsia"/>
        </w:rPr>
        <w:t>using the Capital Asset Pricing Model (CAPM) equation</w:t>
      </w:r>
      <w:r w:rsidR="00C606A3">
        <w:rPr>
          <w:rFonts w:ascii="Arial" w:hAnsi="Arial" w:cs="Arial" w:eastAsiaTheme="minorEastAsia"/>
        </w:rPr>
        <w:t>: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835"/>
        <w:gridCol w:w="3686"/>
        <w:gridCol w:w="2495"/>
      </w:tblGrid>
      <w:tr w:rsidR="00C54496" w:rsidTr="00813A56" w14:paraId="1D3ED5C5" w14:textId="77777777">
        <w:trPr>
          <w:trHeight w:val="533"/>
        </w:trPr>
        <w:tc>
          <w:tcPr>
            <w:tcW w:w="2835" w:type="dxa"/>
          </w:tcPr>
          <w:p w:rsidR="00C54496" w:rsidP="00813A56" w:rsidRDefault="00C54496" w14:paraId="2134686A" w14:textId="7777777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686" w:type="dxa"/>
          </w:tcPr>
          <w:p w:rsidRPr="00275116" w:rsidR="00C54496" w:rsidP="00813A56" w:rsidRDefault="00BA5DDE" w14:paraId="72965F54" w14:textId="544078A3">
            <w:pPr>
              <w:jc w:val="center"/>
              <w:rPr>
                <w:rFonts w:ascii="Arial" w:hAnsi="Arial" w:cs="Arial"/>
              </w:rPr>
            </w:pPr>
            <m:oMath>
              <m:sSub>
                <m:sSubPr>
                  <m:ctrlPr>
                    <w:rPr>
                      <w:rFonts w:ascii="Cambria Math" w:hAnsi="Cambria Math" w:cs="Arial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 w:eastAsiaTheme="minorEastAsia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 w:eastAsiaTheme="minorEastAsia"/>
                    </w:rPr>
                    <m:t>e</m:t>
                  </m:r>
                </m:sub>
              </m:sSub>
              <m:r>
                <w:rPr>
                  <w:rFonts w:ascii="Cambria Math" w:hAnsi="Cambria Math" w:cs="Arial" w:eastAsiaTheme="minorEastAsia"/>
                </w:rPr>
                <m:t>=</m:t>
              </m:r>
            </m:oMath>
            <w:r w:rsidRPr="00752AF5" w:rsidR="00D67123">
              <w:rPr>
                <w:rFonts w:ascii="Arial" w:hAnsi="Arial" w:cs="Arial" w:eastAsiaTheme="minorEastAsia"/>
              </w:rPr>
              <w:t>𝑅</w:t>
            </w:r>
            <w:r w:rsidRPr="00752AF5" w:rsidR="00D67123">
              <w:rPr>
                <w:rFonts w:ascii="Arial" w:hAnsi="Arial" w:cs="Arial" w:eastAsiaTheme="minorEastAsia"/>
              </w:rPr>
              <w:t>𝑓</w:t>
            </w:r>
            <m:oMath>
              <m:r>
                <w:rPr>
                  <w:rFonts w:ascii="Cambria Math" w:hAnsi="Cambria Math" w:cs="Arial" w:eastAsiaTheme="minorEastAsia"/>
                </w:rPr>
                <m:t>+</m:t>
              </m:r>
              <m:e>
                <m:ctrlPr>
                  <w:r w:rsidR="00D67123" w:rsidRPr="00752AF5">
                    <w:rPr>
                      <w:rFonts w:ascii="Arial" w:eastAsiaTheme="minorEastAsia" w:hAnsi="Arial" w:cs="Arial"/>
                      <w:color w:val="000000" w:themeColor="text1"/>
                      <w:lang w:val="el-GR"/>
                    </w:rPr>
                  </w:r>
                </m:ctrlPr>
              </m:e>
              <w:r w:rsidR="00D67123" w:rsidRPr="00752AF5">
                <w:rPr>
                  <w:rFonts w:ascii="Arial" w:eastAsiaTheme="minorEastAsia" w:hAnsi="Arial" w:cs="Arial"/>
                  <w:color w:val="000000" w:themeColor="text1"/>
                  <w:lang w:val="el-GR"/>
                </w:rPr>
                <w:t>𝛽</w:t>
              </w:r>
            </m:oMath>
            <w:r w:rsidRPr="00752AF5" w:rsidR="00D67123">
              <w:rPr>
                <w:rFonts w:ascii="Arial" w:hAnsi="Arial" w:cs="Arial" w:eastAsiaTheme="minorEastAsia"/>
              </w:rPr>
              <w:t>𝑒</w:t>
            </w:r>
            <w:r w:rsidRPr="00752AF5" w:rsidR="00D67123">
              <w:rPr>
                <w:rFonts w:ascii="Arial" w:hAnsi="Arial" w:cs="Arial" w:eastAsiaTheme="minorEastAsia"/>
              </w:rPr>
              <w:t>𝑅</w:t>
            </w:r>
            <w:r w:rsidRPr="00752AF5" w:rsidR="00D67123">
              <w:rPr>
                <w:rFonts w:ascii="Arial" w:hAnsi="Arial" w:cs="Arial" w:eastAsiaTheme="minorEastAsia"/>
              </w:rPr>
              <w:t>𝑚</w:t>
            </w:r>
            <w:r w:rsidRPr="00752AF5" w:rsidR="00D67123">
              <w:rPr>
                <w:rFonts w:ascii="Arial" w:hAnsi="Arial" w:cs="Arial" w:eastAsiaTheme="minorEastAsia"/>
              </w:rPr>
              <w:t>−</w:t>
            </w:r>
            <w:r w:rsidRPr="00752AF5" w:rsidR="00D67123">
              <w:rPr>
                <w:rFonts w:ascii="Arial" w:hAnsi="Arial" w:cs="Arial" w:eastAsiaTheme="minorEastAsia"/>
              </w:rPr>
              <w:t>𝑅</w:t>
            </w:r>
            <w:r w:rsidRPr="00752AF5" w:rsidR="00D67123">
              <w:rPr>
                <w:rFonts w:ascii="Arial" w:hAnsi="Arial" w:cs="Arial" w:eastAsiaTheme="minorEastAsia"/>
              </w:rPr>
              <w:t>𝑓</w:t>
            </w:r>
          </w:p>
        </w:tc>
        <w:tc>
          <w:tcPr>
            <w:tcW w:w="2495" w:type="dxa"/>
          </w:tcPr>
          <w:p w:rsidRPr="00DE441B" w:rsidR="00C54496" w:rsidP="00DE441B" w:rsidRDefault="00DE441B" w14:paraId="0DD41BE5" w14:textId="2E6F2C5B">
            <w:pPr>
              <w:pStyle w:val="Caption"/>
              <w:keepNext/>
              <w:jc w:val="right"/>
            </w:pPr>
            <w:r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t>(</w:t>
            </w:r>
            <w:r w:rsidRPr="00DE441B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fldChar w:fldCharType="begin"/>
            </w:r>
            <w:r w:rsidRPr="00DE441B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instrText xml:space="preserve"> SEQ Equation \* ARABIC </w:instrText>
            </w:r>
            <w:r w:rsidRPr="00DE441B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fldChar w:fldCharType="separate"/>
            </w:r>
            <w:r w:rsidR="000C74F8">
              <w:rPr>
                <w:rFonts w:ascii="Arial" w:hAnsi="Arial" w:cs="Arial"/>
                <w:i w:val="0"/>
                <w:iCs w:val="0"/>
                <w:noProof/>
                <w:color w:val="auto"/>
                <w:sz w:val="22"/>
                <w:szCs w:val="22"/>
              </w:rPr>
              <w:t>5</w:t>
            </w:r>
            <w:r w:rsidRPr="00DE441B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t>)</w:t>
            </w:r>
          </w:p>
        </w:tc>
      </w:tr>
    </w:tbl>
    <w:p w:rsidRPr="00221C86" w:rsidR="00C606A3" w:rsidP="00DE441B" w:rsidRDefault="00C606A3" w14:paraId="76768D20" w14:textId="51890701">
      <w:pPr>
        <w:rPr>
          <w:rFonts w:ascii="Arial" w:hAnsi="Arial" w:cs="Arial" w:eastAsiaTheme="minorEastAsia"/>
        </w:rPr>
      </w:pPr>
    </w:p>
    <w:p w:rsidRPr="00221C86" w:rsidR="002F3123" w:rsidP="00632E21" w:rsidRDefault="00250005" w14:paraId="2B1DE57B" w14:textId="49CB8D1D">
      <w:pPr>
        <w:jc w:val="both"/>
        <w:rPr>
          <w:rFonts w:ascii="Arial" w:hAnsi="Arial" w:cs="Arial" w:eastAsiaTheme="minorEastAsia"/>
        </w:rPr>
      </w:pPr>
      <w:r>
        <w:rPr>
          <w:rFonts w:ascii="Arial" w:hAnsi="Arial" w:cs="Arial"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 w:cs="Arial" w:eastAsiaTheme="minorEastAsia"/>
                <w:i/>
              </w:rPr>
            </m:ctrlPr>
          </m:sSubPr>
          <m:e>
            <m:r>
              <w:rPr>
                <w:rFonts w:ascii="Cambria Math" w:hAnsi="Cambria Math" w:cs="Arial" w:eastAsiaTheme="minorEastAsia"/>
              </w:rPr>
              <m:t>R</m:t>
            </m:r>
          </m:e>
          <m:sub>
            <m:r>
              <w:rPr>
                <w:rFonts w:ascii="Cambria Math" w:hAnsi="Cambria Math" w:cs="Arial" w:eastAsiaTheme="minorEastAsia"/>
              </w:rPr>
              <m:t>f</m:t>
            </m:r>
          </m:sub>
        </m:sSub>
      </m:oMath>
      <w:r>
        <w:rPr>
          <w:rFonts w:ascii="Arial" w:hAnsi="Arial" w:cs="Arial" w:eastAsiaTheme="minorEastAsia"/>
        </w:rPr>
        <w:t xml:space="preserve"> is the risk-free rate, </w:t>
      </w:r>
      <m:oMath>
        <m:sSub>
          <m:sSubPr>
            <m:ctrlPr>
              <w:rPr>
                <w:rFonts w:ascii="Cambria Math" w:hAnsi="Cambria Math" w:cs="Arial" w:eastAsiaTheme="minorEastAsia"/>
                <w:i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l-GR"/>
              </w:rPr>
              <m:t>β</m:t>
            </m:r>
          </m:e>
          <m:sub>
            <m:r>
              <w:rPr>
                <w:rFonts w:ascii="Cambria Math" w:hAnsi="Cambria Math" w:cs="Arial" w:eastAsiaTheme="minorEastAsia"/>
              </w:rPr>
              <m:t>e</m:t>
            </m:r>
          </m:sub>
        </m:sSub>
      </m:oMath>
      <w:r>
        <w:rPr>
          <w:rFonts w:ascii="Arial" w:hAnsi="Arial" w:cs="Arial" w:eastAsiaTheme="minorEastAsia"/>
        </w:rPr>
        <w:t xml:space="preserve"> is the beta of equity and</w:t>
      </w:r>
      <w:r w:rsidR="002F3123">
        <w:rPr>
          <w:rFonts w:ascii="Arial" w:hAnsi="Arial" w:cs="Arial" w:eastAsiaTheme="minorEastAsia"/>
        </w:rPr>
        <w:t xml:space="preserve"> </w:t>
      </w:r>
      <m:oMath>
        <m:d>
          <m:dPr>
            <m:ctrlPr>
              <w:rPr>
                <w:rFonts w:ascii="Cambria Math" w:hAnsi="Cambria Math" w:cs="Arial" w:eastAsiaTheme="minorEastAsia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 w:eastAsiaTheme="minorEastAsia"/>
                    <w:i/>
                  </w:rPr>
                </m:ctrlPr>
              </m:sSubPr>
              <m:e>
                <m:r>
                  <w:rPr>
                    <w:rFonts w:ascii="Cambria Math" w:hAnsi="Cambria Math" w:cs="Arial" w:eastAsiaTheme="minorEastAsia"/>
                  </w:rPr>
                  <m:t>R</m:t>
                </m:r>
              </m:e>
              <m:sub>
                <m:r>
                  <w:rPr>
                    <w:rFonts w:ascii="Cambria Math" w:hAnsi="Cambria Math" w:cs="Arial" w:eastAsiaTheme="minorEastAsia"/>
                  </w:rPr>
                  <m:t>m</m:t>
                </m:r>
              </m:sub>
            </m:sSub>
            <m:r>
              <w:rPr>
                <w:rFonts w:ascii="Cambria Math" w:hAnsi="Cambria Math" w:cs="Arial" w:eastAsiaTheme="minorEastAsia"/>
              </w:rPr>
              <m:t>-</m:t>
            </m:r>
            <m:sSub>
              <m:sSubPr>
                <m:ctrlPr>
                  <w:rPr>
                    <w:rFonts w:ascii="Cambria Math" w:hAnsi="Cambria Math" w:cs="Arial" w:eastAsiaTheme="minorEastAsia"/>
                    <w:i/>
                  </w:rPr>
                </m:ctrlPr>
              </m:sSubPr>
              <m:e>
                <m:r>
                  <w:rPr>
                    <w:rFonts w:ascii="Cambria Math" w:hAnsi="Cambria Math" w:cs="Arial" w:eastAsiaTheme="minorEastAsia"/>
                  </w:rPr>
                  <m:t>R</m:t>
                </m:r>
              </m:e>
              <m:sub>
                <m:r>
                  <w:rPr>
                    <w:rFonts w:ascii="Cambria Math" w:hAnsi="Cambria Math" w:cs="Arial" w:eastAsiaTheme="minorEastAsia"/>
                  </w:rPr>
                  <m:t>f</m:t>
                </m:r>
              </m:sub>
            </m:sSub>
          </m:e>
        </m:d>
      </m:oMath>
      <w:r w:rsidR="002F3123">
        <w:rPr>
          <w:rFonts w:ascii="Arial" w:hAnsi="Arial" w:cs="Arial" w:eastAsiaTheme="minorEastAsia"/>
        </w:rPr>
        <w:t xml:space="preserve"> is the </w:t>
      </w:r>
      <w:r w:rsidR="00632E21">
        <w:rPr>
          <w:rFonts w:ascii="Arial" w:hAnsi="Arial" w:cs="Arial" w:eastAsiaTheme="minorEastAsia"/>
        </w:rPr>
        <w:t xml:space="preserve">equity </w:t>
      </w:r>
      <w:proofErr w:type="gramStart"/>
      <w:r w:rsidR="00632E21">
        <w:rPr>
          <w:rFonts w:ascii="Arial" w:hAnsi="Arial" w:cs="Arial" w:eastAsiaTheme="minorEastAsia"/>
        </w:rPr>
        <w:t>premium.</w:t>
      </w:r>
      <w:proofErr w:type="gramEnd"/>
    </w:p>
    <w:p w:rsidRPr="003243AF" w:rsidR="003243AF" w:rsidP="00FA2F4A" w:rsidRDefault="003243AF" w14:paraId="5A52C5DD" w14:textId="4CB6C901">
      <w:pPr>
        <w:pStyle w:val="Heading2"/>
        <w:rPr>
          <w:rFonts w:ascii="Arial" w:hAnsi="Arial" w:cs="Arial" w:eastAsiaTheme="minorEastAsia"/>
        </w:rPr>
      </w:pPr>
      <w:r w:rsidRPr="003243AF">
        <w:rPr>
          <w:rFonts w:ascii="Arial" w:hAnsi="Arial" w:cs="Arial" w:eastAsiaTheme="minorEastAsia"/>
        </w:rPr>
        <w:t>Beta of Equity:</w:t>
      </w:r>
    </w:p>
    <w:p w:rsidR="00221C86" w:rsidP="00915B34" w:rsidRDefault="005B53D8" w14:paraId="083EDF25" w14:textId="0B45FB2E">
      <w:pPr>
        <w:jc w:val="both"/>
        <w:rPr>
          <w:rFonts w:ascii="Arial" w:hAnsi="Arial" w:cs="Arial" w:eastAsiaTheme="minorEastAsia"/>
        </w:rPr>
      </w:pPr>
      <w:r>
        <w:rPr>
          <w:rFonts w:ascii="Arial" w:hAnsi="Arial" w:cs="Arial" w:eastAsiaTheme="minorEastAsia"/>
        </w:rPr>
        <w:t xml:space="preserve">The risk-free rate is assumed to 1.1%, while the equity premium is determined as </w:t>
      </w:r>
      <w:r w:rsidR="00471B5E">
        <w:rPr>
          <w:rFonts w:ascii="Arial" w:hAnsi="Arial" w:cs="Arial" w:eastAsiaTheme="minorEastAsia"/>
        </w:rPr>
        <w:t xml:space="preserve">5.8%. The </w:t>
      </w:r>
      <m:oMath>
        <m:sSub>
          <m:sSubPr>
            <m:ctrlPr>
              <w:rPr>
                <w:rFonts w:ascii="Cambria Math" w:hAnsi="Cambria Math" w:cs="Arial" w:eastAsiaTheme="minorEastAsia"/>
                <w:i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l-GR"/>
              </w:rPr>
              <m:t>β</m:t>
            </m:r>
          </m:e>
          <m:sub>
            <m:r>
              <w:rPr>
                <w:rFonts w:ascii="Cambria Math" w:hAnsi="Cambria Math" w:cs="Arial" w:eastAsiaTheme="minorEastAsia"/>
              </w:rPr>
              <m:t>e</m:t>
            </m:r>
          </m:sub>
        </m:sSub>
      </m:oMath>
      <w:r w:rsidR="00471B5E">
        <w:rPr>
          <w:rFonts w:ascii="Arial" w:hAnsi="Arial" w:cs="Arial" w:eastAsiaTheme="minorEastAsia"/>
        </w:rPr>
        <w:t xml:space="preserve"> for company A is unknown, since </w:t>
      </w:r>
      <w:r w:rsidR="00F844FA">
        <w:rPr>
          <w:rFonts w:ascii="Arial" w:hAnsi="Arial" w:cs="Arial" w:eastAsiaTheme="minorEastAsia"/>
        </w:rPr>
        <w:t>there is no data on a project like this, which was taken on by company A</w:t>
      </w:r>
      <w:r w:rsidR="00B30106">
        <w:rPr>
          <w:rFonts w:ascii="Arial" w:hAnsi="Arial" w:cs="Arial" w:eastAsiaTheme="minorEastAsia"/>
        </w:rPr>
        <w:t>.</w:t>
      </w:r>
      <w:r w:rsidR="00F844FA">
        <w:rPr>
          <w:rFonts w:ascii="Arial" w:hAnsi="Arial" w:cs="Arial" w:eastAsiaTheme="minorEastAsia"/>
        </w:rPr>
        <w:t xml:space="preserve"> </w:t>
      </w:r>
      <w:r w:rsidR="00B30106">
        <w:rPr>
          <w:rFonts w:ascii="Arial" w:hAnsi="Arial" w:cs="Arial" w:eastAsiaTheme="minorEastAsia"/>
        </w:rPr>
        <w:t>I</w:t>
      </w:r>
      <w:r w:rsidR="00F844FA">
        <w:rPr>
          <w:rFonts w:ascii="Arial" w:hAnsi="Arial" w:cs="Arial" w:eastAsiaTheme="minorEastAsia"/>
        </w:rPr>
        <w:t xml:space="preserve">t needs to be calculated using information </w:t>
      </w:r>
      <w:r w:rsidR="003C3385">
        <w:rPr>
          <w:rFonts w:ascii="Arial" w:hAnsi="Arial" w:cs="Arial" w:eastAsiaTheme="minorEastAsia"/>
        </w:rPr>
        <w:t>taken from company B (the comparison company)</w:t>
      </w:r>
      <w:r w:rsidR="00E1422F">
        <w:rPr>
          <w:rFonts w:ascii="Arial" w:hAnsi="Arial" w:cs="Arial" w:eastAsiaTheme="minorEastAsia"/>
        </w:rPr>
        <w:t xml:space="preserve">, which is an established company in this sector. </w:t>
      </w:r>
      <w:r w:rsidR="00D859C7">
        <w:rPr>
          <w:rFonts w:ascii="Arial" w:hAnsi="Arial" w:cs="Arial" w:eastAsiaTheme="minorEastAsia"/>
        </w:rPr>
        <w:t xml:space="preserve">The </w:t>
      </w:r>
      <w:r w:rsidR="00915B34">
        <w:rPr>
          <w:rFonts w:ascii="Arial" w:hAnsi="Arial" w:cs="Arial" w:eastAsiaTheme="minorEastAsia"/>
        </w:rPr>
        <w:t xml:space="preserve">evaluation of </w:t>
      </w:r>
      <m:oMath>
        <m:sSub>
          <m:sSubPr>
            <m:ctrlPr>
              <w:rPr>
                <w:rFonts w:ascii="Cambria Math" w:hAnsi="Cambria Math" w:cs="Arial" w:eastAsiaTheme="minorEastAsia"/>
                <w:i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l-GR"/>
              </w:rPr>
              <m:t>β</m:t>
            </m:r>
          </m:e>
          <m:sub>
            <m:r>
              <w:rPr>
                <w:rFonts w:ascii="Cambria Math" w:hAnsi="Cambria Math" w:cs="Arial" w:eastAsiaTheme="minorEastAsia"/>
              </w:rPr>
              <m:t>e</m:t>
            </m:r>
          </m:sub>
        </m:sSub>
      </m:oMath>
      <w:r w:rsidR="00915B34">
        <w:rPr>
          <w:rFonts w:ascii="Arial" w:hAnsi="Arial" w:cs="Arial" w:eastAsiaTheme="minorEastAsia"/>
        </w:rPr>
        <w:t xml:space="preserve"> </w:t>
      </w:r>
      <w:r w:rsidR="00C4206D">
        <w:rPr>
          <w:rFonts w:ascii="Arial" w:hAnsi="Arial" w:cs="Arial" w:eastAsiaTheme="minorEastAsia"/>
        </w:rPr>
        <w:t>is achieved by using the equation below: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835"/>
        <w:gridCol w:w="3686"/>
        <w:gridCol w:w="2495"/>
      </w:tblGrid>
      <w:tr w:rsidR="00DE441B" w:rsidTr="00813A56" w14:paraId="277C62F5" w14:textId="77777777">
        <w:trPr>
          <w:trHeight w:val="533"/>
        </w:trPr>
        <w:tc>
          <w:tcPr>
            <w:tcW w:w="2835" w:type="dxa"/>
          </w:tcPr>
          <w:p w:rsidR="00DE441B" w:rsidP="00813A56" w:rsidRDefault="00DE441B" w14:paraId="6365AE07" w14:textId="7777777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686" w:type="dxa"/>
          </w:tcPr>
          <w:p w:rsidRPr="00275116" w:rsidR="00DE441B" w:rsidP="00813A56" w:rsidRDefault="00BA5DDE" w14:paraId="4ED2302A" w14:textId="5D03E6CB">
            <w:pPr>
              <w:jc w:val="center"/>
              <w:rPr>
                <w:rFonts w:ascii="Arial" w:hAnsi="Arial" w:cs="Arial"/>
              </w:rPr>
            </w:pPr>
            <m:oMath>
              <m:sSub>
                <m:sSubPr>
                  <m:ctrlPr>
                    <w:rPr>
                      <w:rFonts w:ascii="Cambria Math" w:hAnsi="Cambria Math" w:cs="Arial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l-GR"/>
                    </w:rPr>
                    <m:t>β</m:t>
                  </m:r>
                </m:e>
                <m:sub>
                  <m:r>
                    <w:rPr>
                      <w:rFonts w:ascii="Cambria Math" w:hAnsi="Cambria Math" w:cs="Arial" w:eastAsiaTheme="minorEastAsia"/>
                    </w:rPr>
                    <m:t>e</m:t>
                  </m:r>
                </m:sub>
              </m:sSub>
              <m:r>
                <w:rPr>
                  <w:rFonts w:ascii="Cambria Math" w:hAnsi="Cambria Math" w:cs="Arial" w:eastAsiaTheme="minorEastAsia"/>
                </w:rPr>
                <m:t>=</m:t>
              </m:r>
              <m:num>
                <m:e>
                  <m:r>
                    <w:rPr>
                      <w:rFonts w:ascii="Cambria Math" w:eastAsiaTheme="minorEastAsia" w:hAnsi="Cambria Math" w:cs="Arial"/>
                    </w:rPr>
                    <m:t>1-</m:t>
                  </m:r>
                  <m:ctrlPr>
                    <w:r w:rsidRPr="00752AF5">
                      <w:rPr>
                        <w:rFonts w:ascii="Arial" w:eastAsiaTheme="minorEastAsia" w:hAnsi="Arial" w:cs="Arial"/>
                      </w:rPr>
                    </w:r>
                  </m:ctrlPr>
                </m:e>
                <m:e>
                  <m:ctrlPr>
                    <w:r w:rsidR="00D67123" w:rsidRPr="00752AF5">
                      <w:rPr>
                        <w:rFonts w:ascii="Arial" w:eastAsiaTheme="minorEastAsia" w:hAnsi="Arial" w:cs="Arial"/>
                      </w:rPr>
                    </w:r>
                  </m:ctrlPr>
                </m:e>
                <m:ctrlPr>
                  <w:r w:rsidR="00D67123" w:rsidRPr="00752AF5">
                    <w:rPr>
                      <w:rFonts w:ascii="Arial" w:eastAsiaTheme="minorEastAsia" w:hAnsi="Arial" w:cs="Arial"/>
                    </w:rPr>
                  </w:r>
                </m:ctrlPr>
              </m:num>
              <w:r w:rsidR="00D67123" w:rsidRPr="00752AF5">
                <w:rPr>
                  <w:rFonts w:ascii="Arial" w:eastAsiaTheme="minorEastAsia" w:hAnsi="Arial" w:cs="Arial"/>
                </w:rPr>
                <w:t>𝐺</w:t>
              </w:r>
            </m:oMath>
            <w:r w:rsidRPr="00752AF5" w:rsidR="00D67123">
              <w:rPr>
                <w:rFonts w:ascii="Arial" w:hAnsi="Arial" w:cs="Arial" w:eastAsiaTheme="minorEastAsia"/>
              </w:rPr>
              <w:t>∗</w:t>
            </w:r>
            <w:r w:rsidRPr="00752AF5" w:rsidR="00D67123">
              <w:rPr>
                <w:rFonts w:ascii="Arial" w:hAnsi="Arial" w:cs="Arial" w:eastAsiaTheme="minorEastAsia"/>
                <w:color w:val="000000" w:themeColor="text1"/>
                <w:lang w:val="el-GR"/>
              </w:rPr>
              <w:t>𝛽</w:t>
            </w:r>
            <w:r w:rsidRPr="00752AF5" w:rsidR="00D67123">
              <w:rPr>
                <w:rFonts w:ascii="Arial" w:hAnsi="Arial" w:cs="Arial" w:eastAsiaTheme="minorEastAsia"/>
              </w:rPr>
              <w:t>𝑒</w:t>
            </w:r>
            <w:r w:rsidRPr="00752AF5" w:rsidR="00D67123">
              <w:rPr>
                <w:rFonts w:ascii="Arial" w:hAnsi="Arial" w:cs="Arial" w:eastAsiaTheme="minorEastAsia"/>
              </w:rPr>
              <w:t>∗</w:t>
            </w:r>
            <m:oMath>
              <m:d>
                <m:dPr>
                  <m:ctrlPr>
                    <w:rPr>
                      <w:rFonts w:ascii="Cambria Math" w:hAnsi="Cambria Math" w:cs="Arial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 w:eastAsiaTheme="minorEastAsia"/>
                    </w:rPr>
                    <m:t>1-G</m:t>
                  </m:r>
                </m:e>
              </m:d>
            </m:oMath>
          </w:p>
        </w:tc>
        <w:tc>
          <w:tcPr>
            <w:tcW w:w="2495" w:type="dxa"/>
          </w:tcPr>
          <w:p w:rsidRPr="00DE441B" w:rsidR="00DE441B" w:rsidP="00DE441B" w:rsidRDefault="00DE441B" w14:paraId="708E8B21" w14:textId="5D3F3F6D">
            <w:pPr>
              <w:pStyle w:val="Caption"/>
              <w:keepNext/>
              <w:jc w:val="right"/>
              <w:rPr>
                <w:rFonts w:ascii="Arial" w:hAnsi="Arial" w:cs="Arial"/>
                <w:i w:val="0"/>
                <w:iCs w:val="0"/>
                <w:noProof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iCs w:val="0"/>
                <w:noProof/>
                <w:color w:val="auto"/>
                <w:sz w:val="22"/>
                <w:szCs w:val="22"/>
              </w:rPr>
              <w:t>(</w:t>
            </w:r>
            <w:r w:rsidRPr="00DE441B">
              <w:rPr>
                <w:rFonts w:ascii="Arial" w:hAnsi="Arial" w:cs="Arial"/>
                <w:i w:val="0"/>
                <w:iCs w:val="0"/>
                <w:noProof/>
                <w:color w:val="auto"/>
                <w:sz w:val="22"/>
                <w:szCs w:val="22"/>
              </w:rPr>
              <w:fldChar w:fldCharType="begin"/>
            </w:r>
            <w:r w:rsidRPr="00DE441B">
              <w:rPr>
                <w:rFonts w:ascii="Arial" w:hAnsi="Arial" w:cs="Arial"/>
                <w:i w:val="0"/>
                <w:iCs w:val="0"/>
                <w:noProof/>
                <w:color w:val="auto"/>
                <w:sz w:val="22"/>
                <w:szCs w:val="22"/>
              </w:rPr>
              <w:instrText xml:space="preserve"> SEQ Equation \* ARABIC </w:instrText>
            </w:r>
            <w:r w:rsidRPr="00DE441B">
              <w:rPr>
                <w:rFonts w:ascii="Arial" w:hAnsi="Arial" w:cs="Arial"/>
                <w:i w:val="0"/>
                <w:iCs w:val="0"/>
                <w:noProof/>
                <w:color w:val="auto"/>
                <w:sz w:val="22"/>
                <w:szCs w:val="22"/>
              </w:rPr>
              <w:fldChar w:fldCharType="separate"/>
            </w:r>
            <w:r w:rsidR="000C74F8">
              <w:rPr>
                <w:rFonts w:ascii="Arial" w:hAnsi="Arial" w:cs="Arial"/>
                <w:i w:val="0"/>
                <w:iCs w:val="0"/>
                <w:noProof/>
                <w:color w:val="auto"/>
                <w:sz w:val="22"/>
                <w:szCs w:val="22"/>
              </w:rPr>
              <w:t>6</w:t>
            </w:r>
            <w:r w:rsidRPr="00DE441B">
              <w:rPr>
                <w:rFonts w:ascii="Arial" w:hAnsi="Arial" w:cs="Arial"/>
                <w:i w:val="0"/>
                <w:iCs w:val="0"/>
                <w:noProof/>
                <w:color w:val="auto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i w:val="0"/>
                <w:iCs w:val="0"/>
                <w:noProof/>
                <w:color w:val="auto"/>
                <w:sz w:val="22"/>
                <w:szCs w:val="22"/>
              </w:rPr>
              <w:t>)</w:t>
            </w:r>
          </w:p>
        </w:tc>
      </w:tr>
    </w:tbl>
    <w:p w:rsidR="00C4206D" w:rsidP="00DE441B" w:rsidRDefault="00C4206D" w14:paraId="231A5927" w14:textId="670F9CEC">
      <w:pPr>
        <w:rPr>
          <w:rFonts w:eastAsiaTheme="minorEastAsia"/>
          <w:noProof/>
        </w:rPr>
      </w:pPr>
    </w:p>
    <w:p w:rsidR="00F3273D" w:rsidP="00F3273D" w:rsidRDefault="00F3273D" w14:paraId="20004B97" w14:textId="752D8319">
      <w:pPr>
        <w:jc w:val="both"/>
        <w:rPr>
          <w:rFonts w:ascii="Arial" w:hAnsi="Arial" w:cs="Arial" w:eastAsiaTheme="minorEastAsia"/>
        </w:rPr>
      </w:pPr>
      <w:r>
        <w:rPr>
          <w:rFonts w:ascii="Arial" w:hAnsi="Arial" w:cs="Arial" w:eastAsiaTheme="minorEastAsia"/>
        </w:rPr>
        <w:t xml:space="preserve">Where </w:t>
      </w:r>
      <m:oMath>
        <m:sSup>
          <m:sSupPr>
            <m:ctrlPr>
              <w:rPr>
                <w:rFonts w:ascii="Cambria Math" w:hAnsi="Cambria Math" w:cs="Arial" w:eastAsiaTheme="minorEastAsia"/>
                <w:i/>
              </w:rPr>
            </m:ctrlPr>
          </m:sSupPr>
          <m:e>
            <m:r>
              <w:rPr>
                <w:rFonts w:ascii="Cambria Math" w:hAnsi="Cambria Math" w:cs="Arial" w:eastAsiaTheme="minorEastAsia"/>
              </w:rPr>
              <m:t>G</m:t>
            </m:r>
          </m:e>
          <m:sup>
            <m:r>
              <w:rPr>
                <w:rFonts w:ascii="Cambria Math" w:hAnsi="Cambria Math" w:cs="Arial" w:eastAsiaTheme="minorEastAsia"/>
              </w:rPr>
              <m:t>*</m:t>
            </m:r>
          </m:sup>
        </m:sSup>
      </m:oMath>
      <w:r>
        <w:rPr>
          <w:rFonts w:ascii="Arial" w:hAnsi="Arial" w:cs="Arial" w:eastAsiaTheme="minorEastAsia"/>
        </w:rPr>
        <w:t xml:space="preserve"> is the gearing ratio of </w:t>
      </w:r>
      <w:r w:rsidR="003E7677">
        <w:rPr>
          <w:rFonts w:ascii="Arial" w:hAnsi="Arial" w:cs="Arial" w:eastAsiaTheme="minorEastAsia"/>
        </w:rPr>
        <w:t xml:space="preserve">company B and </w:t>
      </w:r>
      <m:oMath>
        <m:sSubSup>
          <m:sSubSupPr>
            <m:ctrlPr>
              <w:rPr>
                <w:rFonts w:ascii="Cambria Math" w:hAnsi="Cambria Math" w:cs="Arial" w:eastAsiaTheme="minorEastAsia"/>
                <w:i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lang w:val="el-GR"/>
              </w:rPr>
              <m:t>β</m:t>
            </m:r>
          </m:e>
          <m:sub>
            <m:r>
              <w:rPr>
                <w:rFonts w:ascii="Cambria Math" w:hAnsi="Cambria Math" w:cs="Arial" w:eastAsiaTheme="minorEastAsia"/>
              </w:rPr>
              <m:t>e</m:t>
            </m:r>
          </m:sub>
          <m:sup>
            <m:r>
              <w:rPr>
                <w:rFonts w:ascii="Cambria Math" w:hAnsi="Cambria Math" w:cs="Arial" w:eastAsiaTheme="minorEastAsia"/>
              </w:rPr>
              <m:t>*</m:t>
            </m:r>
          </m:sup>
        </m:sSubSup>
      </m:oMath>
      <w:r w:rsidR="003E7677">
        <w:rPr>
          <w:rFonts w:ascii="Arial" w:hAnsi="Arial" w:cs="Arial" w:eastAsiaTheme="minorEastAsia"/>
        </w:rPr>
        <w:t xml:space="preserve"> is the beta of equity for company </w:t>
      </w:r>
      <w:proofErr w:type="gramStart"/>
      <w:r w:rsidR="003E7677">
        <w:rPr>
          <w:rFonts w:ascii="Arial" w:hAnsi="Arial" w:cs="Arial" w:eastAsiaTheme="minorEastAsia"/>
        </w:rPr>
        <w:t>B.</w:t>
      </w:r>
      <w:proofErr w:type="gramEnd"/>
    </w:p>
    <w:p w:rsidR="009750A6" w:rsidP="00F3273D" w:rsidRDefault="00383397" w14:paraId="439FB7E2" w14:textId="77777777">
      <w:pPr>
        <w:jc w:val="both"/>
        <w:rPr>
          <w:rFonts w:ascii="Arial" w:hAnsi="Arial" w:cs="Arial" w:eastAsiaTheme="minorEastAsia"/>
        </w:rPr>
      </w:pPr>
      <w:r>
        <w:rPr>
          <w:rFonts w:ascii="Arial" w:hAnsi="Arial" w:cs="Arial" w:eastAsiaTheme="minorEastAsia"/>
        </w:rPr>
        <w:t>Equation 6</w:t>
      </w:r>
      <w:r w:rsidR="002F572C">
        <w:rPr>
          <w:rFonts w:ascii="Arial" w:hAnsi="Arial" w:cs="Arial" w:eastAsiaTheme="minorEastAsia"/>
        </w:rPr>
        <w:t xml:space="preserve"> can be used only if the gearing ratios of company A and company B are similar. If they are inde</w:t>
      </w:r>
      <w:r>
        <w:rPr>
          <w:rFonts w:ascii="Arial" w:hAnsi="Arial" w:cs="Arial" w:eastAsiaTheme="minorEastAsia"/>
        </w:rPr>
        <w:t xml:space="preserve">ed similar, then the assumption can be made that </w:t>
      </w:r>
      <w:r w:rsidR="007C0FD5">
        <w:rPr>
          <w:rFonts w:ascii="Arial" w:hAnsi="Arial" w:cs="Arial" w:eastAsiaTheme="minorEastAsia"/>
        </w:rPr>
        <w:t>the beta of debt for both companies is equal to zero. This assumption allows for the use of equation 6.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835"/>
        <w:gridCol w:w="3686"/>
        <w:gridCol w:w="2495"/>
      </w:tblGrid>
      <w:tr w:rsidR="009750A6" w:rsidTr="000E467D" w14:paraId="78A8A9DE" w14:textId="77777777">
        <w:trPr>
          <w:trHeight w:val="533"/>
        </w:trPr>
        <w:tc>
          <w:tcPr>
            <w:tcW w:w="2835" w:type="dxa"/>
          </w:tcPr>
          <w:p w:rsidR="009750A6" w:rsidP="000E467D" w:rsidRDefault="009750A6" w14:paraId="2B1EAD0F" w14:textId="7777777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686" w:type="dxa"/>
          </w:tcPr>
          <w:p w:rsidRPr="00275116" w:rsidR="009750A6" w:rsidP="000E467D" w:rsidRDefault="00BA5DDE" w14:paraId="52E1DFDB" w14:textId="67F2799B">
            <w:pPr>
              <w:jc w:val="center"/>
              <w:rPr>
                <w:rFonts w:ascii="Arial" w:hAnsi="Arial" w:cs="Arial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Arial" w:eastAsiaTheme="minorEastAsi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Arial" w:eastAsiaTheme="minorEastAsia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Arial" w:eastAsiaTheme="minorEastAsia"/>
                  </w:rPr>
                  <m:t>≈</m:t>
                </m:r>
                <m:sSubSup>
                  <m:sSubSupPr>
                    <m:ctrlPr>
                      <w:rPr>
                        <w:rFonts w:ascii="Cambria Math" w:hAnsi="Cambria Math" w:cs="Arial" w:eastAsiaTheme="minorEastAsia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Arial" w:eastAsiaTheme="minorEastAsia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 w:cs="Arial" w:eastAsiaTheme="minorEastAsia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Arial" w:eastAsiaTheme="minorEastAsia"/>
                  </w:rPr>
                  <m:t>≈0</m:t>
                </m:r>
              </m:oMath>
            </m:oMathPara>
          </w:p>
        </w:tc>
        <w:tc>
          <w:tcPr>
            <w:tcW w:w="2495" w:type="dxa"/>
          </w:tcPr>
          <w:p w:rsidRPr="000C74F8" w:rsidR="009750A6" w:rsidP="000C74F8" w:rsidRDefault="000C74F8" w14:paraId="3E55B25F" w14:textId="461E761D">
            <w:pPr>
              <w:pStyle w:val="Caption"/>
              <w:keepNext/>
              <w:jc w:val="right"/>
            </w:pPr>
            <w:r>
              <w:rPr>
                <w:rFonts w:ascii="Arial" w:hAnsi="Arial" w:cs="Arial"/>
                <w:i w:val="0"/>
                <w:iCs w:val="0"/>
                <w:noProof/>
                <w:color w:val="auto"/>
                <w:sz w:val="22"/>
                <w:szCs w:val="22"/>
              </w:rPr>
              <w:t>(</w:t>
            </w:r>
            <w:r w:rsidRPr="000C74F8">
              <w:rPr>
                <w:rFonts w:ascii="Arial" w:hAnsi="Arial" w:cs="Arial"/>
                <w:i w:val="0"/>
                <w:iCs w:val="0"/>
                <w:noProof/>
                <w:color w:val="auto"/>
                <w:sz w:val="22"/>
                <w:szCs w:val="22"/>
              </w:rPr>
              <w:fldChar w:fldCharType="begin"/>
            </w:r>
            <w:r w:rsidRPr="000C74F8">
              <w:rPr>
                <w:rFonts w:ascii="Arial" w:hAnsi="Arial" w:cs="Arial"/>
                <w:i w:val="0"/>
                <w:iCs w:val="0"/>
                <w:noProof/>
                <w:color w:val="auto"/>
                <w:sz w:val="22"/>
                <w:szCs w:val="22"/>
              </w:rPr>
              <w:instrText xml:space="preserve"> SEQ Equation \* ARABIC </w:instrText>
            </w:r>
            <w:r w:rsidRPr="000C74F8">
              <w:rPr>
                <w:rFonts w:ascii="Arial" w:hAnsi="Arial" w:cs="Arial"/>
                <w:i w:val="0"/>
                <w:iCs w:val="0"/>
                <w:noProof/>
                <w:color w:val="auto"/>
                <w:sz w:val="22"/>
                <w:szCs w:val="22"/>
              </w:rPr>
              <w:fldChar w:fldCharType="separate"/>
            </w:r>
            <w:r w:rsidRPr="000C74F8">
              <w:rPr>
                <w:rFonts w:ascii="Arial" w:hAnsi="Arial" w:cs="Arial"/>
                <w:i w:val="0"/>
                <w:iCs w:val="0"/>
                <w:noProof/>
                <w:color w:val="auto"/>
                <w:sz w:val="22"/>
                <w:szCs w:val="22"/>
              </w:rPr>
              <w:t>7</w:t>
            </w:r>
            <w:r w:rsidRPr="000C74F8">
              <w:rPr>
                <w:rFonts w:ascii="Arial" w:hAnsi="Arial" w:cs="Arial"/>
                <w:i w:val="0"/>
                <w:iCs w:val="0"/>
                <w:noProof/>
                <w:color w:val="auto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i w:val="0"/>
                <w:iCs w:val="0"/>
                <w:noProof/>
                <w:color w:val="auto"/>
                <w:sz w:val="22"/>
                <w:szCs w:val="22"/>
              </w:rPr>
              <w:t>)</w:t>
            </w:r>
          </w:p>
        </w:tc>
      </w:tr>
    </w:tbl>
    <w:p w:rsidR="009750A6" w:rsidP="00F3273D" w:rsidRDefault="000C74F8" w14:paraId="27CD723D" w14:textId="5E154CD6">
      <w:pPr>
        <w:jc w:val="both"/>
        <w:rPr>
          <w:rFonts w:ascii="Arial" w:hAnsi="Arial" w:cs="Arial" w:eastAsiaTheme="minorEastAsia"/>
        </w:rPr>
      </w:pPr>
      <w:r>
        <w:rPr>
          <w:rFonts w:ascii="Arial" w:hAnsi="Arial" w:cs="Arial"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 w:cs="Arial" w:eastAsiaTheme="minorEastAsia"/>
                <w:i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l-GR"/>
              </w:rPr>
              <m:t>β</m:t>
            </m:r>
          </m:e>
          <m:sub>
            <m:r>
              <w:rPr>
                <w:rFonts w:ascii="Cambria Math" w:hAnsi="Cambria Math" w:cs="Arial" w:eastAsiaTheme="minorEastAsia"/>
              </w:rPr>
              <m:t>d</m:t>
            </m:r>
          </m:sub>
        </m:sSub>
      </m:oMath>
      <w:r>
        <w:rPr>
          <w:rFonts w:ascii="Arial" w:hAnsi="Arial" w:cs="Arial" w:eastAsiaTheme="minorEastAsia"/>
        </w:rPr>
        <w:t xml:space="preserve"> and </w:t>
      </w:r>
      <m:oMath>
        <m:sSubSup>
          <m:sSubSupPr>
            <m:ctrlPr>
              <w:rPr>
                <w:rFonts w:ascii="Cambria Math" w:hAnsi="Cambria Math" w:cs="Arial" w:eastAsiaTheme="minorEastAsia"/>
                <w:i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lang w:val="el-GR"/>
              </w:rPr>
              <m:t>β</m:t>
            </m:r>
          </m:e>
          <m:sub>
            <m:r>
              <w:rPr>
                <w:rFonts w:ascii="Cambria Math" w:hAnsi="Cambria Math" w:cs="Arial" w:eastAsiaTheme="minorEastAsia"/>
              </w:rPr>
              <m:t>d</m:t>
            </m:r>
          </m:sub>
          <m:sup>
            <m:r>
              <w:rPr>
                <w:rFonts w:ascii="Cambria Math" w:hAnsi="Cambria Math" w:cs="Arial" w:eastAsiaTheme="minorEastAsia"/>
              </w:rPr>
              <m:t>*</m:t>
            </m:r>
          </m:sup>
        </m:sSubSup>
      </m:oMath>
      <w:r>
        <w:rPr>
          <w:rFonts w:ascii="Arial" w:hAnsi="Arial" w:cs="Arial" w:eastAsiaTheme="minorEastAsia"/>
        </w:rPr>
        <w:t xml:space="preserve"> are </w:t>
      </w:r>
      <w:r w:rsidR="0044665E">
        <w:rPr>
          <w:rFonts w:ascii="Arial" w:hAnsi="Arial" w:cs="Arial" w:eastAsiaTheme="minorEastAsia"/>
        </w:rPr>
        <w:t xml:space="preserve">the betas of debt for company A and company </w:t>
      </w:r>
      <w:proofErr w:type="gramStart"/>
      <w:r w:rsidR="0044665E">
        <w:rPr>
          <w:rFonts w:ascii="Arial" w:hAnsi="Arial" w:cs="Arial" w:eastAsiaTheme="minorEastAsia"/>
        </w:rPr>
        <w:t>B</w:t>
      </w:r>
      <w:proofErr w:type="gramEnd"/>
      <w:r w:rsidR="0044665E">
        <w:rPr>
          <w:rFonts w:ascii="Arial" w:hAnsi="Arial" w:cs="Arial" w:eastAsiaTheme="minorEastAsia"/>
        </w:rPr>
        <w:t xml:space="preserve"> respectively.</w:t>
      </w:r>
    </w:p>
    <w:p w:rsidR="004514B7" w:rsidP="00F3273D" w:rsidRDefault="00F55234" w14:paraId="732A874A" w14:textId="06FDF84D">
      <w:pPr>
        <w:jc w:val="both"/>
        <w:rPr>
          <w:rFonts w:ascii="Arial" w:hAnsi="Arial" w:cs="Arial" w:eastAsiaTheme="minorEastAsia"/>
        </w:rPr>
      </w:pPr>
      <w:r>
        <w:rPr>
          <w:rFonts w:ascii="Arial" w:hAnsi="Arial" w:cs="Arial" w:eastAsiaTheme="minorEastAsia"/>
        </w:rPr>
        <w:t xml:space="preserve">Using </w:t>
      </w:r>
      <w:r w:rsidR="00714C28">
        <w:rPr>
          <w:rFonts w:ascii="Arial" w:hAnsi="Arial" w:cs="Arial" w:eastAsiaTheme="minorEastAsia"/>
        </w:rPr>
        <w:t xml:space="preserve">equation 4, </w:t>
      </w:r>
      <m:oMath>
        <m:sSup>
          <m:sSupPr>
            <m:ctrlPr>
              <w:rPr>
                <w:rFonts w:ascii="Cambria Math" w:hAnsi="Cambria Math" w:cs="Arial" w:eastAsiaTheme="minorEastAsia"/>
                <w:i/>
              </w:rPr>
            </m:ctrlPr>
          </m:sSupPr>
          <m:e>
            <m:r>
              <w:rPr>
                <w:rFonts w:ascii="Cambria Math" w:hAnsi="Cambria Math" w:cs="Arial" w:eastAsiaTheme="minorEastAsia"/>
              </w:rPr>
              <m:t>G</m:t>
            </m:r>
          </m:e>
          <m:sup>
            <m:r>
              <w:rPr>
                <w:rFonts w:ascii="Cambria Math" w:hAnsi="Cambria Math" w:cs="Arial" w:eastAsiaTheme="minorEastAsia"/>
              </w:rPr>
              <m:t>*</m:t>
            </m:r>
          </m:sup>
        </m:sSup>
      </m:oMath>
      <w:r w:rsidR="00A405D2">
        <w:rPr>
          <w:rFonts w:ascii="Arial" w:hAnsi="Arial" w:cs="Arial" w:eastAsiaTheme="minorEastAsia"/>
        </w:rPr>
        <w:t xml:space="preserve"> was estimated at </w:t>
      </w:r>
      <w:r w:rsidR="00756FF0">
        <w:rPr>
          <w:rFonts w:ascii="Arial" w:hAnsi="Arial" w:cs="Arial" w:eastAsiaTheme="minorEastAsia"/>
        </w:rPr>
        <w:t>26.56%</w:t>
      </w:r>
      <w:r w:rsidR="006A5D06">
        <w:rPr>
          <w:rFonts w:ascii="Arial" w:hAnsi="Arial" w:cs="Arial" w:eastAsiaTheme="minorEastAsia"/>
        </w:rPr>
        <w:t xml:space="preserve">, as the value for total debt was </w:t>
      </w:r>
      <w:r w:rsidR="002E3C09">
        <w:rPr>
          <w:rFonts w:ascii="Arial" w:hAnsi="Arial" w:cs="Arial" w:eastAsiaTheme="minorEastAsia"/>
        </w:rPr>
        <w:t>£607.5 million and total equity was £1,680 million (</w:t>
      </w:r>
      <w:r w:rsidR="004514B7">
        <w:rPr>
          <w:rFonts w:ascii="Arial" w:hAnsi="Arial" w:cs="Arial" w:eastAsiaTheme="minorEastAsia"/>
        </w:rPr>
        <w:t>from the 2020 Balance Sheet for company B on Eikon).</w:t>
      </w:r>
      <w:r w:rsidR="0044665E">
        <w:rPr>
          <w:rFonts w:ascii="Arial" w:hAnsi="Arial" w:cs="Arial" w:eastAsiaTheme="minorEastAsia"/>
        </w:rPr>
        <w:t xml:space="preserve"> This means </w:t>
      </w:r>
      <w:r w:rsidR="00B65682">
        <w:rPr>
          <w:rFonts w:ascii="Arial" w:hAnsi="Arial" w:cs="Arial" w:eastAsiaTheme="minorEastAsia"/>
        </w:rPr>
        <w:t xml:space="preserve">that the assumption </w:t>
      </w:r>
      <w:r w:rsidR="000116BC">
        <w:rPr>
          <w:rFonts w:ascii="Arial" w:hAnsi="Arial" w:cs="Arial" w:eastAsiaTheme="minorEastAsia"/>
        </w:rPr>
        <w:t>is valid, since gearing for both companies is similar.</w:t>
      </w:r>
      <w:r w:rsidR="004514B7">
        <w:rPr>
          <w:rFonts w:ascii="Arial" w:hAnsi="Arial" w:cs="Arial" w:eastAsiaTheme="minorEastAsia"/>
        </w:rPr>
        <w:t xml:space="preserve"> </w:t>
      </w:r>
      <w:r w:rsidR="00844C25">
        <w:rPr>
          <w:rFonts w:ascii="Arial" w:hAnsi="Arial" w:cs="Arial" w:eastAsiaTheme="minorEastAsia"/>
        </w:rPr>
        <w:t xml:space="preserve">The </w:t>
      </w:r>
      <w:r w:rsidR="008B5F6F">
        <w:rPr>
          <w:rFonts w:ascii="Arial" w:hAnsi="Arial" w:cs="Arial" w:eastAsiaTheme="minorEastAsia"/>
        </w:rPr>
        <w:t>beta equity of company B was taken directly from Eikon, which was calculated using monthly data for the past 5 years. This value was given as 1.3</w:t>
      </w:r>
      <w:r w:rsidR="00294052">
        <w:rPr>
          <w:rFonts w:ascii="Arial" w:hAnsi="Arial" w:cs="Arial" w:eastAsiaTheme="minorEastAsia"/>
        </w:rPr>
        <w:t>7</w:t>
      </w:r>
      <w:r w:rsidR="00E241CD">
        <w:rPr>
          <w:rFonts w:ascii="Arial" w:hAnsi="Arial" w:cs="Arial" w:eastAsiaTheme="minorEastAsia"/>
        </w:rPr>
        <w:t xml:space="preserve"> </w:t>
      </w:r>
      <w:r w:rsidR="00206391">
        <w:rPr>
          <w:rFonts w:ascii="Arial" w:hAnsi="Arial" w:cs="Arial" w:eastAsiaTheme="minorEastAsia"/>
        </w:rPr>
        <w:t xml:space="preserve">on </w:t>
      </w:r>
      <w:r w:rsidR="00294052">
        <w:rPr>
          <w:rFonts w:ascii="Arial" w:hAnsi="Arial" w:cs="Arial" w:eastAsiaTheme="minorEastAsia"/>
        </w:rPr>
        <w:t>10</w:t>
      </w:r>
      <w:r w:rsidR="00206391">
        <w:rPr>
          <w:rFonts w:ascii="Arial" w:hAnsi="Arial" w:cs="Arial" w:eastAsiaTheme="minorEastAsia"/>
        </w:rPr>
        <w:t>/1</w:t>
      </w:r>
      <w:r w:rsidR="00294052">
        <w:rPr>
          <w:rFonts w:ascii="Arial" w:hAnsi="Arial" w:cs="Arial" w:eastAsiaTheme="minorEastAsia"/>
        </w:rPr>
        <w:t>2</w:t>
      </w:r>
      <w:r w:rsidR="00206391">
        <w:rPr>
          <w:rFonts w:ascii="Arial" w:hAnsi="Arial" w:cs="Arial" w:eastAsiaTheme="minorEastAsia"/>
        </w:rPr>
        <w:t>/2020</w:t>
      </w:r>
      <w:r w:rsidR="000B720E">
        <w:rPr>
          <w:rFonts w:ascii="Arial" w:hAnsi="Arial" w:cs="Arial" w:eastAsiaTheme="minorEastAsia"/>
        </w:rPr>
        <w:t xml:space="preserve">. Therefore, by using equation 6, </w:t>
      </w:r>
      <m:oMath>
        <m:sSub>
          <m:sSubPr>
            <m:ctrlPr>
              <w:rPr>
                <w:rFonts w:ascii="Cambria Math" w:hAnsi="Cambria Math" w:cs="Arial" w:eastAsiaTheme="minorEastAsia"/>
                <w:i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l-GR"/>
              </w:rPr>
              <m:t>β</m:t>
            </m:r>
          </m:e>
          <m:sub>
            <m:r>
              <w:rPr>
                <w:rFonts w:ascii="Cambria Math" w:hAnsi="Cambria Math" w:cs="Arial" w:eastAsiaTheme="minorEastAsia"/>
              </w:rPr>
              <m:t>e</m:t>
            </m:r>
          </m:sub>
        </m:sSub>
      </m:oMath>
      <w:r w:rsidR="000B720E">
        <w:rPr>
          <w:rFonts w:ascii="Arial" w:hAnsi="Arial" w:cs="Arial" w:eastAsiaTheme="minorEastAsia"/>
        </w:rPr>
        <w:t xml:space="preserve"> was calculated as 1.2</w:t>
      </w:r>
      <w:r w:rsidR="00294052">
        <w:rPr>
          <w:rFonts w:ascii="Arial" w:hAnsi="Arial" w:cs="Arial" w:eastAsiaTheme="minorEastAsia"/>
        </w:rPr>
        <w:t>9</w:t>
      </w:r>
      <w:r w:rsidR="000B720E">
        <w:rPr>
          <w:rFonts w:ascii="Arial" w:hAnsi="Arial" w:cs="Arial" w:eastAsiaTheme="minorEastAsia"/>
        </w:rPr>
        <w:t>.</w:t>
      </w:r>
    </w:p>
    <w:p w:rsidR="000B720E" w:rsidP="00F3273D" w:rsidRDefault="000B720E" w14:paraId="387345A7" w14:textId="32AAF439">
      <w:pPr>
        <w:jc w:val="both"/>
        <w:rPr>
          <w:rFonts w:ascii="Arial" w:hAnsi="Arial" w:cs="Arial" w:eastAsiaTheme="minorEastAsia"/>
        </w:rPr>
      </w:pPr>
      <w:r>
        <w:rPr>
          <w:rFonts w:ascii="Arial" w:hAnsi="Arial" w:cs="Arial" w:eastAsiaTheme="minorEastAsia"/>
        </w:rPr>
        <w:t xml:space="preserve">Now that we have obtained </w:t>
      </w:r>
      <m:oMath>
        <m:sSub>
          <m:sSubPr>
            <m:ctrlPr>
              <w:rPr>
                <w:rFonts w:ascii="Cambria Math" w:hAnsi="Cambria Math" w:cs="Arial" w:eastAsiaTheme="minorEastAsia"/>
                <w:i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l-GR"/>
              </w:rPr>
              <m:t>β</m:t>
            </m:r>
          </m:e>
          <m:sub>
            <m:r>
              <w:rPr>
                <w:rFonts w:ascii="Cambria Math" w:hAnsi="Cambria Math" w:cs="Arial" w:eastAsiaTheme="minorEastAsia"/>
              </w:rPr>
              <m:t>e</m:t>
            </m:r>
          </m:sub>
        </m:sSub>
      </m:oMath>
      <w:r w:rsidR="00412154">
        <w:rPr>
          <w:rFonts w:ascii="Arial" w:hAnsi="Arial" w:cs="Arial" w:eastAsiaTheme="minorEastAsia"/>
        </w:rPr>
        <w:t xml:space="preserve">, </w:t>
      </w:r>
      <m:oMath>
        <m:sSub>
          <m:sSubPr>
            <m:ctrlPr>
              <w:rPr>
                <w:rFonts w:ascii="Cambria Math" w:hAnsi="Cambria Math" w:cs="Arial" w:eastAsiaTheme="minorEastAsia"/>
                <w:i/>
              </w:rPr>
            </m:ctrlPr>
          </m:sSubPr>
          <m:e>
            <m:r>
              <w:rPr>
                <w:rFonts w:ascii="Cambria Math" w:hAnsi="Cambria Math" w:cs="Arial" w:eastAsiaTheme="minorEastAsia"/>
              </w:rPr>
              <m:t>R</m:t>
            </m:r>
          </m:e>
          <m:sub>
            <m:r>
              <w:rPr>
                <w:rFonts w:ascii="Cambria Math" w:hAnsi="Cambria Math" w:cs="Arial" w:eastAsiaTheme="minorEastAsia"/>
              </w:rPr>
              <m:t>e</m:t>
            </m:r>
          </m:sub>
        </m:sSub>
      </m:oMath>
      <w:r w:rsidR="00412154">
        <w:rPr>
          <w:rFonts w:ascii="Arial" w:hAnsi="Arial" w:cs="Arial" w:eastAsiaTheme="minorEastAsia"/>
        </w:rPr>
        <w:t xml:space="preserve"> can be evaluated. By using equation 5, the cost of equity was computed to be </w:t>
      </w:r>
      <w:r w:rsidR="00652F46">
        <w:rPr>
          <w:rFonts w:ascii="Arial" w:hAnsi="Arial" w:cs="Arial" w:eastAsiaTheme="minorEastAsia"/>
        </w:rPr>
        <w:t>8.</w:t>
      </w:r>
      <w:r w:rsidR="00A32A72">
        <w:rPr>
          <w:rFonts w:ascii="Arial" w:hAnsi="Arial" w:cs="Arial" w:eastAsiaTheme="minorEastAsia"/>
        </w:rPr>
        <w:t>59</w:t>
      </w:r>
      <w:r w:rsidR="00652F46">
        <w:rPr>
          <w:rFonts w:ascii="Arial" w:hAnsi="Arial" w:cs="Arial" w:eastAsiaTheme="minorEastAsia"/>
        </w:rPr>
        <w:t>%.</w:t>
      </w:r>
    </w:p>
    <w:p w:rsidR="00EA49EE" w:rsidP="00EA49EE" w:rsidRDefault="00EA49EE" w14:paraId="7946CB56" w14:textId="68DDC088">
      <w:pPr>
        <w:pStyle w:val="Heading2"/>
        <w:rPr>
          <w:rFonts w:ascii="Arial" w:hAnsi="Arial" w:cs="Arial" w:eastAsiaTheme="minorEastAsia"/>
        </w:rPr>
      </w:pPr>
      <w:r w:rsidRPr="0028137F">
        <w:rPr>
          <w:rFonts w:ascii="Arial" w:hAnsi="Arial" w:cs="Arial" w:eastAsiaTheme="minorEastAsia"/>
        </w:rPr>
        <w:t>WACC Evaluation:</w:t>
      </w:r>
    </w:p>
    <w:p w:rsidR="00652F46" w:rsidP="00F3273D" w:rsidRDefault="00F15ABC" w14:paraId="3F1470C5" w14:textId="5A5B3D2D">
      <w:pPr>
        <w:jc w:val="both"/>
        <w:rPr>
          <w:rFonts w:ascii="Arial" w:hAnsi="Arial" w:cs="Arial" w:eastAsiaTheme="minorEastAsia"/>
        </w:rPr>
      </w:pPr>
      <w:r>
        <w:rPr>
          <w:rFonts w:ascii="Arial" w:hAnsi="Arial" w:cs="Arial" w:eastAsiaTheme="minorEastAsia"/>
        </w:rPr>
        <w:t>Since all</w:t>
      </w:r>
      <w:r w:rsidR="00652F46">
        <w:rPr>
          <w:rFonts w:ascii="Arial" w:hAnsi="Arial" w:cs="Arial" w:eastAsiaTheme="minorEastAsia"/>
        </w:rPr>
        <w:t xml:space="preserve"> variables for equation 3 have been determined, the WACC can be evaluated. </w:t>
      </w:r>
      <w:r w:rsidR="00B83094">
        <w:rPr>
          <w:rFonts w:ascii="Arial" w:hAnsi="Arial" w:cs="Arial" w:eastAsiaTheme="minorEastAsia"/>
        </w:rPr>
        <w:t xml:space="preserve">The value for the weighted average cost of capital is estimated as </w:t>
      </w:r>
      <w:r w:rsidR="00294052">
        <w:rPr>
          <w:rFonts w:ascii="Arial" w:hAnsi="Arial" w:cs="Arial" w:eastAsiaTheme="minorEastAsia"/>
        </w:rPr>
        <w:t>7.2</w:t>
      </w:r>
      <w:r w:rsidR="00B83094">
        <w:rPr>
          <w:rFonts w:ascii="Arial" w:hAnsi="Arial" w:cs="Arial" w:eastAsiaTheme="minorEastAsia"/>
        </w:rPr>
        <w:t>0%.</w:t>
      </w:r>
    </w:p>
    <w:p w:rsidRPr="00FA2F4A" w:rsidR="0028137F" w:rsidP="00985F11" w:rsidRDefault="00FA2F4A" w14:paraId="59D46D55" w14:textId="6F6BE7B6">
      <w:pPr>
        <w:pStyle w:val="Heading2"/>
        <w:rPr>
          <w:rFonts w:ascii="Arial" w:hAnsi="Arial" w:cs="Arial" w:eastAsiaTheme="minorEastAsia"/>
        </w:rPr>
      </w:pPr>
      <w:commentRangeStart w:id="0"/>
      <w:r w:rsidRPr="00FA2F4A">
        <w:rPr>
          <w:rFonts w:ascii="Arial" w:hAnsi="Arial" w:cs="Arial" w:eastAsiaTheme="minorEastAsia"/>
        </w:rPr>
        <w:t>Sources of error</w:t>
      </w:r>
      <w:commentRangeEnd w:id="0"/>
      <w:r w:rsidR="00F9059F">
        <w:rPr>
          <w:rStyle w:val="CommentReference"/>
          <w:rFonts w:asciiTheme="minorHAnsi" w:hAnsiTheme="minorHAnsi" w:eastAsiaTheme="minorHAnsi" w:cstheme="minorBidi"/>
          <w:color w:val="auto"/>
        </w:rPr>
        <w:commentReference w:id="0"/>
      </w:r>
      <w:r w:rsidRPr="00FA2F4A">
        <w:rPr>
          <w:rFonts w:ascii="Arial" w:hAnsi="Arial" w:cs="Arial" w:eastAsiaTheme="minorEastAsia"/>
        </w:rPr>
        <w:t>:</w:t>
      </w:r>
    </w:p>
    <w:p w:rsidR="00FA2F4A" w:rsidP="00F3273D" w:rsidRDefault="00B24D3D" w14:paraId="19A519A5" w14:textId="7D51F132">
      <w:pPr>
        <w:jc w:val="both"/>
        <w:rPr>
          <w:rFonts w:ascii="Arial" w:hAnsi="Arial" w:cs="Arial" w:eastAsiaTheme="minorEastAsia"/>
        </w:rPr>
      </w:pPr>
      <w:r>
        <w:rPr>
          <w:rFonts w:ascii="Arial" w:hAnsi="Arial" w:cs="Arial" w:eastAsiaTheme="minorEastAsia"/>
        </w:rPr>
        <w:t xml:space="preserve">It should be noted that the above calculations are estimations of each value. This suggests that </w:t>
      </w:r>
      <w:r w:rsidR="00C750A6">
        <w:rPr>
          <w:rFonts w:ascii="Arial" w:hAnsi="Arial" w:cs="Arial" w:eastAsiaTheme="minorEastAsia"/>
        </w:rPr>
        <w:t>there are multiple sources of error.</w:t>
      </w:r>
    </w:p>
    <w:p w:rsidR="00045677" w:rsidP="00F3273D" w:rsidRDefault="00F7183F" w14:paraId="3FEED95F" w14:textId="29FF762C">
      <w:pPr>
        <w:jc w:val="both"/>
        <w:rPr>
          <w:rFonts w:ascii="Arial" w:hAnsi="Arial" w:cs="Arial" w:eastAsiaTheme="minorEastAsia"/>
        </w:rPr>
      </w:pPr>
      <w:r>
        <w:rPr>
          <w:rFonts w:ascii="Arial" w:hAnsi="Arial" w:cs="Arial" w:eastAsiaTheme="minorEastAsia"/>
        </w:rPr>
        <w:t xml:space="preserve">Note: </w:t>
      </w:r>
      <w:r w:rsidR="00931DA9">
        <w:rPr>
          <w:rFonts w:ascii="Arial" w:hAnsi="Arial" w:cs="Arial" w:eastAsiaTheme="minorEastAsia"/>
        </w:rPr>
        <w:t>All values used in the calculation</w:t>
      </w:r>
      <w:r w:rsidR="003C02D0">
        <w:rPr>
          <w:rFonts w:ascii="Arial" w:hAnsi="Arial" w:cs="Arial" w:eastAsiaTheme="minorEastAsia"/>
        </w:rPr>
        <w:t xml:space="preserve">s </w:t>
      </w:r>
      <w:r w:rsidR="00FA2E6E">
        <w:rPr>
          <w:rFonts w:ascii="Arial" w:hAnsi="Arial" w:cs="Arial" w:eastAsiaTheme="minorEastAsia"/>
        </w:rPr>
        <w:t xml:space="preserve">were calculated using the latest available values for 2020 from the Financial Statements available on Eikon. </w:t>
      </w:r>
      <w:r w:rsidR="00065FE0">
        <w:rPr>
          <w:rFonts w:ascii="Arial" w:hAnsi="Arial" w:cs="Arial" w:eastAsiaTheme="minorEastAsia"/>
        </w:rPr>
        <w:t xml:space="preserve">The same values for the previous 3 years were </w:t>
      </w:r>
      <w:r w:rsidR="004762F5">
        <w:rPr>
          <w:rFonts w:ascii="Arial" w:hAnsi="Arial" w:cs="Arial" w:eastAsiaTheme="minorEastAsia"/>
        </w:rPr>
        <w:t>calculated for comparison purposes.</w:t>
      </w:r>
    </w:p>
    <w:p w:rsidR="00895B8A" w:rsidP="00F3273D" w:rsidRDefault="00920A4E" w14:paraId="78183087" w14:textId="665251FF">
      <w:pPr>
        <w:jc w:val="both"/>
        <w:rPr>
          <w:rFonts w:ascii="Arial" w:hAnsi="Arial" w:cs="Arial" w:eastAsiaTheme="minorEastAsia"/>
        </w:rPr>
      </w:pPr>
      <w:r>
        <w:rPr>
          <w:rFonts w:ascii="Arial" w:hAnsi="Arial" w:cs="Arial" w:eastAsiaTheme="minorEastAsia"/>
        </w:rPr>
        <w:t xml:space="preserve">As mentioned in the first section, the method of calculation for the cost of debt is dependent on the debt structure of the company. For this reason, since company A’s </w:t>
      </w:r>
      <w:r w:rsidR="00686337">
        <w:rPr>
          <w:rFonts w:ascii="Arial" w:hAnsi="Arial" w:cs="Arial" w:eastAsiaTheme="minorEastAsia"/>
        </w:rPr>
        <w:t xml:space="preserve">debt </w:t>
      </w:r>
      <w:r w:rsidR="00704E06">
        <w:rPr>
          <w:rFonts w:ascii="Arial" w:hAnsi="Arial" w:cs="Arial" w:eastAsiaTheme="minorEastAsia"/>
        </w:rPr>
        <w:t xml:space="preserve">comprises loans only, </w:t>
      </w:r>
      <w:r w:rsidR="005E4F9B">
        <w:rPr>
          <w:rFonts w:ascii="Arial" w:hAnsi="Arial" w:cs="Arial" w:eastAsiaTheme="minorEastAsia"/>
        </w:rPr>
        <w:t>equation 1 needs to be used.</w:t>
      </w:r>
      <w:r w:rsidR="00205D3F">
        <w:rPr>
          <w:rFonts w:ascii="Arial" w:hAnsi="Arial" w:cs="Arial" w:eastAsiaTheme="minorEastAsia"/>
        </w:rPr>
        <w:t xml:space="preserve"> Compared to </w:t>
      </w:r>
      <w:r w:rsidR="00BF0BAD">
        <w:rPr>
          <w:rFonts w:ascii="Arial" w:hAnsi="Arial" w:cs="Arial" w:eastAsiaTheme="minorEastAsia"/>
        </w:rPr>
        <w:t xml:space="preserve">data available, the </w:t>
      </w:r>
      <w:r w:rsidR="00195791">
        <w:rPr>
          <w:rFonts w:ascii="Arial" w:hAnsi="Arial" w:cs="Arial" w:eastAsiaTheme="minorEastAsia"/>
        </w:rPr>
        <w:t xml:space="preserve">value is close to the arithmetic mean of all </w:t>
      </w:r>
      <w:r w:rsidR="00FB2459">
        <w:rPr>
          <w:rFonts w:ascii="Arial" w:hAnsi="Arial" w:cs="Arial" w:eastAsiaTheme="minorEastAsia"/>
        </w:rPr>
        <w:t xml:space="preserve">costs of debts calculated for </w:t>
      </w:r>
      <w:r w:rsidR="007250ED">
        <w:rPr>
          <w:rFonts w:ascii="Arial" w:hAnsi="Arial" w:cs="Arial" w:eastAsiaTheme="minorEastAsia"/>
        </w:rPr>
        <w:t>the previous 3 years</w:t>
      </w:r>
      <w:r w:rsidR="00757E5B">
        <w:rPr>
          <w:rFonts w:ascii="Arial" w:hAnsi="Arial" w:cs="Arial" w:eastAsiaTheme="minorEastAsia"/>
        </w:rPr>
        <w:t xml:space="preserve"> (only 0.22% higher)</w:t>
      </w:r>
      <w:r w:rsidR="00F4226D">
        <w:rPr>
          <w:rFonts w:ascii="Arial" w:hAnsi="Arial" w:cs="Arial" w:eastAsiaTheme="minorEastAsia"/>
        </w:rPr>
        <w:t xml:space="preserve">. </w:t>
      </w:r>
      <w:r w:rsidR="00B11983">
        <w:rPr>
          <w:rFonts w:ascii="Arial" w:hAnsi="Arial" w:cs="Arial" w:eastAsiaTheme="minorEastAsia"/>
        </w:rPr>
        <w:t xml:space="preserve">This suggests that there is a possibility that the </w:t>
      </w:r>
      <w:r w:rsidR="00A726C0">
        <w:rPr>
          <w:rFonts w:ascii="Arial" w:hAnsi="Arial" w:cs="Arial" w:eastAsiaTheme="minorEastAsia"/>
        </w:rPr>
        <w:t>cost of debt estimation has a satisfactory degree of accuracy.</w:t>
      </w:r>
    </w:p>
    <w:p w:rsidR="00895B8A" w:rsidP="00F3273D" w:rsidRDefault="00D46B92" w14:paraId="5E8CFE96" w14:textId="1090EA8B">
      <w:pPr>
        <w:jc w:val="both"/>
        <w:rPr>
          <w:rFonts w:ascii="Arial" w:hAnsi="Arial" w:cs="Arial" w:eastAsiaTheme="minorEastAsia"/>
        </w:rPr>
      </w:pPr>
      <w:r>
        <w:rPr>
          <w:rFonts w:ascii="Arial" w:hAnsi="Arial" w:cs="Arial" w:eastAsiaTheme="minorEastAsia"/>
        </w:rPr>
        <w:t>The</w:t>
      </w:r>
      <w:r w:rsidR="008B2925">
        <w:rPr>
          <w:rFonts w:ascii="Arial" w:hAnsi="Arial" w:cs="Arial" w:eastAsiaTheme="minorEastAsia"/>
        </w:rPr>
        <w:t>re is</w:t>
      </w:r>
      <w:r>
        <w:rPr>
          <w:rFonts w:ascii="Arial" w:hAnsi="Arial" w:cs="Arial" w:eastAsiaTheme="minorEastAsia"/>
        </w:rPr>
        <w:t xml:space="preserve"> variation in the corporat</w:t>
      </w:r>
      <w:r w:rsidR="00A36B18">
        <w:rPr>
          <w:rFonts w:ascii="Arial" w:hAnsi="Arial" w:cs="Arial" w:eastAsiaTheme="minorEastAsia"/>
        </w:rPr>
        <w:t>ion</w:t>
      </w:r>
      <w:r>
        <w:rPr>
          <w:rFonts w:ascii="Arial" w:hAnsi="Arial" w:cs="Arial" w:eastAsiaTheme="minorEastAsia"/>
        </w:rPr>
        <w:t xml:space="preserve"> tax paid year on year</w:t>
      </w:r>
      <w:r w:rsidR="008B2925">
        <w:rPr>
          <w:rFonts w:ascii="Arial" w:hAnsi="Arial" w:cs="Arial" w:eastAsiaTheme="minorEastAsia"/>
        </w:rPr>
        <w:t>, most likely</w:t>
      </w:r>
      <w:r>
        <w:rPr>
          <w:rFonts w:ascii="Arial" w:hAnsi="Arial" w:cs="Arial" w:eastAsiaTheme="minorEastAsia"/>
        </w:rPr>
        <w:t xml:space="preserve"> due to tax deductible item</w:t>
      </w:r>
      <w:r w:rsidR="005310A5">
        <w:rPr>
          <w:rFonts w:ascii="Arial" w:hAnsi="Arial" w:cs="Arial" w:eastAsiaTheme="minorEastAsia"/>
        </w:rPr>
        <w:t>s. The value of these items is likely to change each year, hence the amount deducted from company A’s earnings is different each year.</w:t>
      </w:r>
      <w:r w:rsidR="005D03F2">
        <w:rPr>
          <w:rFonts w:ascii="Arial" w:hAnsi="Arial" w:cs="Arial" w:eastAsiaTheme="minorEastAsia"/>
        </w:rPr>
        <w:t xml:space="preserve"> Despite the </w:t>
      </w:r>
      <w:r w:rsidR="00E07BDE">
        <w:rPr>
          <w:rFonts w:ascii="Arial" w:hAnsi="Arial" w:cs="Arial" w:eastAsiaTheme="minorEastAsia"/>
        </w:rPr>
        <w:t xml:space="preserve">2020 </w:t>
      </w:r>
      <w:r w:rsidR="005D03F2">
        <w:rPr>
          <w:rFonts w:ascii="Arial" w:hAnsi="Arial" w:cs="Arial" w:eastAsiaTheme="minorEastAsia"/>
        </w:rPr>
        <w:t xml:space="preserve">value giving the lowest tax rate </w:t>
      </w:r>
      <w:r w:rsidR="00196071">
        <w:rPr>
          <w:rFonts w:ascii="Arial" w:hAnsi="Arial" w:cs="Arial" w:eastAsiaTheme="minorEastAsia"/>
        </w:rPr>
        <w:t>out of the Balance Sheet values, it is the closest to the benchmark value for corporate tax stated on the UK government website</w:t>
      </w:r>
      <w:r w:rsidR="00A334FB">
        <w:rPr>
          <w:rFonts w:ascii="Arial" w:hAnsi="Arial" w:cs="Arial" w:eastAsiaTheme="minorEastAsia"/>
        </w:rPr>
        <w:t xml:space="preserve">. </w:t>
      </w:r>
      <w:r w:rsidR="007223F7">
        <w:rPr>
          <w:rFonts w:ascii="Arial" w:hAnsi="Arial" w:cs="Arial" w:eastAsiaTheme="minorEastAsia"/>
        </w:rPr>
        <w:t>The corporat</w:t>
      </w:r>
      <w:r w:rsidR="00A36B18">
        <w:rPr>
          <w:rFonts w:ascii="Arial" w:hAnsi="Arial" w:cs="Arial" w:eastAsiaTheme="minorEastAsia"/>
        </w:rPr>
        <w:t>ion</w:t>
      </w:r>
      <w:r w:rsidR="007223F7">
        <w:rPr>
          <w:rFonts w:ascii="Arial" w:hAnsi="Arial" w:cs="Arial" w:eastAsiaTheme="minorEastAsia"/>
        </w:rPr>
        <w:t xml:space="preserve"> tax rate </w:t>
      </w:r>
      <w:r w:rsidR="005879EB">
        <w:rPr>
          <w:rFonts w:ascii="Arial" w:hAnsi="Arial" w:cs="Arial" w:eastAsiaTheme="minorEastAsia"/>
        </w:rPr>
        <w:t>in the UK is 19%</w:t>
      </w:r>
      <w:sdt>
        <w:sdtPr>
          <w:rPr>
            <w:rFonts w:ascii="Arial" w:hAnsi="Arial" w:cs="Arial" w:eastAsiaTheme="minorEastAsia"/>
          </w:rPr>
          <w:id w:val="1034540655"/>
          <w:citation/>
        </w:sdtPr>
        <w:sdtContent>
          <w:r w:rsidR="00DA1EB0">
            <w:rPr>
              <w:rFonts w:ascii="Arial" w:hAnsi="Arial" w:cs="Arial" w:eastAsiaTheme="minorEastAsia"/>
            </w:rPr>
            <w:fldChar w:fldCharType="begin"/>
          </w:r>
          <w:r w:rsidR="00DA1EB0">
            <w:rPr>
              <w:rFonts w:ascii="Arial" w:hAnsi="Arial" w:cs="Arial" w:eastAsiaTheme="minorEastAsia"/>
            </w:rPr>
            <w:instrText xml:space="preserve"> CITATION HMR20 \l 2057 </w:instrText>
          </w:r>
          <w:r w:rsidR="00DA1EB0">
            <w:rPr>
              <w:rFonts w:ascii="Arial" w:hAnsi="Arial" w:cs="Arial" w:eastAsiaTheme="minorEastAsia"/>
            </w:rPr>
            <w:fldChar w:fldCharType="separate"/>
          </w:r>
          <w:r w:rsidR="00DA1EB0">
            <w:rPr>
              <w:rFonts w:ascii="Arial" w:hAnsi="Arial" w:cs="Arial" w:eastAsiaTheme="minorEastAsia"/>
              <w:noProof/>
            </w:rPr>
            <w:t xml:space="preserve"> </w:t>
          </w:r>
          <w:r w:rsidRPr="00DA1EB0" w:rsidR="00DA1EB0">
            <w:rPr>
              <w:rFonts w:ascii="Arial" w:hAnsi="Arial" w:cs="Arial" w:eastAsiaTheme="minorEastAsia"/>
              <w:noProof/>
            </w:rPr>
            <w:t>(HMRC, 2020)</w:t>
          </w:r>
          <w:r w:rsidR="00DA1EB0">
            <w:rPr>
              <w:rFonts w:ascii="Arial" w:hAnsi="Arial" w:cs="Arial" w:eastAsiaTheme="minorEastAsia"/>
            </w:rPr>
            <w:fldChar w:fldCharType="end"/>
          </w:r>
        </w:sdtContent>
      </w:sdt>
      <w:r w:rsidR="00A36B18">
        <w:rPr>
          <w:rFonts w:ascii="Arial" w:hAnsi="Arial" w:cs="Arial" w:eastAsiaTheme="minorEastAsia"/>
        </w:rPr>
        <w:t>.</w:t>
      </w:r>
    </w:p>
    <w:p w:rsidR="003519FA" w:rsidP="00F3273D" w:rsidRDefault="00D674F4" w14:paraId="455B6EF2" w14:textId="1282A58C">
      <w:pPr>
        <w:jc w:val="both"/>
        <w:rPr>
          <w:rFonts w:ascii="Arial" w:hAnsi="Arial" w:cs="Arial" w:eastAsiaTheme="minorEastAsia"/>
        </w:rPr>
      </w:pPr>
      <w:r>
        <w:rPr>
          <w:rFonts w:ascii="Arial" w:hAnsi="Arial" w:cs="Arial" w:eastAsiaTheme="minorEastAsia"/>
        </w:rPr>
        <w:t>Both companies’</w:t>
      </w:r>
      <w:r w:rsidR="00ED3F26">
        <w:rPr>
          <w:rFonts w:ascii="Arial" w:hAnsi="Arial" w:cs="Arial" w:eastAsiaTheme="minorEastAsia"/>
        </w:rPr>
        <w:t xml:space="preserve"> gearing rati</w:t>
      </w:r>
      <w:r>
        <w:rPr>
          <w:rFonts w:ascii="Arial" w:hAnsi="Arial" w:cs="Arial" w:eastAsiaTheme="minorEastAsia"/>
        </w:rPr>
        <w:t>os</w:t>
      </w:r>
      <w:r w:rsidR="00ED3F26">
        <w:rPr>
          <w:rFonts w:ascii="Arial" w:hAnsi="Arial" w:cs="Arial" w:eastAsiaTheme="minorEastAsia"/>
        </w:rPr>
        <w:t xml:space="preserve"> </w:t>
      </w:r>
      <w:r>
        <w:rPr>
          <w:rFonts w:ascii="Arial" w:hAnsi="Arial" w:cs="Arial" w:eastAsiaTheme="minorEastAsia"/>
        </w:rPr>
        <w:t>are</w:t>
      </w:r>
      <w:r w:rsidR="003F6130">
        <w:rPr>
          <w:rFonts w:ascii="Arial" w:hAnsi="Arial" w:cs="Arial" w:eastAsiaTheme="minorEastAsia"/>
        </w:rPr>
        <w:t xml:space="preserve"> another source of possible error within the estimation of WACC. </w:t>
      </w:r>
      <w:r w:rsidR="00D226A9">
        <w:rPr>
          <w:rFonts w:ascii="Arial" w:hAnsi="Arial" w:cs="Arial" w:eastAsiaTheme="minorEastAsia"/>
        </w:rPr>
        <w:t xml:space="preserve">Company A’s gearing ratio </w:t>
      </w:r>
      <w:r w:rsidR="00880EA1">
        <w:rPr>
          <w:rFonts w:ascii="Arial" w:hAnsi="Arial" w:cs="Arial" w:eastAsiaTheme="minorEastAsia"/>
        </w:rPr>
        <w:t xml:space="preserve">is less than 1% </w:t>
      </w:r>
      <w:r w:rsidR="00616C9C">
        <w:rPr>
          <w:rFonts w:ascii="Arial" w:hAnsi="Arial" w:cs="Arial" w:eastAsiaTheme="minorEastAsia"/>
        </w:rPr>
        <w:t xml:space="preserve">different from the arithmetic mean of the gearing ratios calculated for all years from 2017 to 2020. </w:t>
      </w:r>
      <w:r w:rsidR="00214245">
        <w:rPr>
          <w:rFonts w:ascii="Arial" w:hAnsi="Arial" w:cs="Arial" w:eastAsiaTheme="minorEastAsia"/>
        </w:rPr>
        <w:t xml:space="preserve">This suggests that </w:t>
      </w:r>
      <w:r w:rsidR="004E07F1">
        <w:rPr>
          <w:rFonts w:ascii="Arial" w:hAnsi="Arial" w:cs="Arial" w:eastAsiaTheme="minorEastAsia"/>
        </w:rPr>
        <w:t xml:space="preserve">company A’s gearing is likely estimated to a </w:t>
      </w:r>
      <w:r w:rsidR="00CD7637">
        <w:rPr>
          <w:rFonts w:ascii="Arial" w:hAnsi="Arial" w:cs="Arial" w:eastAsiaTheme="minorEastAsia"/>
        </w:rPr>
        <w:t>good degree of accuracy. The gearing for company B</w:t>
      </w:r>
      <w:r w:rsidR="000110AD">
        <w:rPr>
          <w:rFonts w:ascii="Arial" w:hAnsi="Arial" w:cs="Arial" w:eastAsiaTheme="minorEastAsia"/>
        </w:rPr>
        <w:t xml:space="preserve">, on the other hand, is the </w:t>
      </w:r>
      <w:r w:rsidR="00371574">
        <w:rPr>
          <w:rFonts w:ascii="Arial" w:hAnsi="Arial" w:cs="Arial" w:eastAsiaTheme="minorEastAsia"/>
        </w:rPr>
        <w:t>lowest value compared to previous years</w:t>
      </w:r>
      <w:r w:rsidR="00611F9E">
        <w:rPr>
          <w:rFonts w:ascii="Arial" w:hAnsi="Arial" w:cs="Arial" w:eastAsiaTheme="minorEastAsia"/>
        </w:rPr>
        <w:t>.</w:t>
      </w:r>
    </w:p>
    <w:p w:rsidRPr="006328ED" w:rsidR="00C018E5" w:rsidP="505EB5E8" w:rsidRDefault="00EC481F" w14:paraId="621B7DAC" w14:textId="4C121338">
      <w:pPr>
        <w:jc w:val="both"/>
        <w:rPr>
          <w:rFonts w:ascii="Arial" w:hAnsi="Arial" w:cs="Arial" w:eastAsiaTheme="minorEastAsia"/>
        </w:rPr>
      </w:pPr>
      <w:r w:rsidRPr="505EB5E8">
        <w:rPr>
          <w:rFonts w:ascii="Arial" w:hAnsi="Arial" w:cs="Arial" w:eastAsiaTheme="minorEastAsia"/>
        </w:rPr>
        <w:t xml:space="preserve">Lastly, the beta </w:t>
      </w:r>
      <w:r w:rsidRPr="505EB5E8" w:rsidR="00AA65ED">
        <w:rPr>
          <w:rFonts w:ascii="Arial" w:hAnsi="Arial" w:cs="Arial" w:eastAsiaTheme="minorEastAsia"/>
        </w:rPr>
        <w:t xml:space="preserve">of equity for company B </w:t>
      </w:r>
      <w:r w:rsidRPr="505EB5E8" w:rsidR="00021B66">
        <w:rPr>
          <w:rFonts w:ascii="Arial" w:hAnsi="Arial" w:cs="Arial" w:eastAsiaTheme="minorEastAsia"/>
        </w:rPr>
        <w:t>likely contains the highest degree of inaccuracy of</w:t>
      </w:r>
      <w:r w:rsidRPr="505EB5E8" w:rsidR="00F02F2E">
        <w:rPr>
          <w:rFonts w:ascii="Arial" w:hAnsi="Arial" w:cs="Arial" w:eastAsiaTheme="minorEastAsia"/>
        </w:rPr>
        <w:t xml:space="preserve"> inaccuracy</w:t>
      </w:r>
      <w:r w:rsidRPr="505EB5E8" w:rsidR="00BB714C">
        <w:rPr>
          <w:rFonts w:ascii="Arial" w:hAnsi="Arial" w:cs="Arial" w:eastAsiaTheme="minorEastAsia"/>
        </w:rPr>
        <w:t xml:space="preserve">. </w:t>
      </w:r>
      <w:r w:rsidRPr="505EB5E8" w:rsidR="00AB3949">
        <w:rPr>
          <w:rFonts w:ascii="Arial" w:hAnsi="Arial" w:cs="Arial" w:eastAsiaTheme="minorEastAsia"/>
        </w:rPr>
        <w:t xml:space="preserve">The accuracy of estimation for </w:t>
      </w:r>
      <m:oMath>
        <m:sSubSup>
          <m:sSubSupPr>
            <m:ctrlPr>
              <w:rPr>
                <w:rFonts w:ascii="Cambria Math" w:hAnsi="Cambria Math" w:cs="Arial" w:eastAsiaTheme="minorEastAsia"/>
                <w:i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lang w:val="el-GR"/>
              </w:rPr>
              <m:t>β</m:t>
            </m:r>
          </m:e>
          <m:sub>
            <m:r>
              <w:rPr>
                <w:rFonts w:ascii="Cambria Math" w:hAnsi="Cambria Math" w:cs="Arial" w:eastAsiaTheme="minorEastAsia"/>
              </w:rPr>
              <m:t>e</m:t>
            </m:r>
          </m:sub>
          <m:sup>
            <m:r>
              <w:rPr>
                <w:rFonts w:ascii="Cambria Math" w:hAnsi="Cambria Math" w:cs="Arial" w:eastAsiaTheme="minorEastAsia"/>
              </w:rPr>
              <m:t>*</m:t>
            </m:r>
          </m:sup>
        </m:sSubSup>
      </m:oMath>
      <w:r w:rsidRPr="505EB5E8" w:rsidR="00184A86">
        <w:rPr>
          <w:rFonts w:ascii="Arial" w:hAnsi="Arial" w:cs="Arial" w:eastAsiaTheme="minorEastAsia"/>
        </w:rPr>
        <w:t xml:space="preserve"> heavily depends on the </w:t>
      </w:r>
      <w:proofErr w:type="gramStart"/>
      <w:r w:rsidRPr="505EB5E8" w:rsidR="00184A86">
        <w:rPr>
          <w:rFonts w:ascii="Arial" w:hAnsi="Arial" w:cs="Arial" w:eastAsiaTheme="minorEastAsia"/>
        </w:rPr>
        <w:t>time period</w:t>
      </w:r>
      <w:proofErr w:type="gramEnd"/>
      <w:r w:rsidRPr="505EB5E8" w:rsidR="00184A86">
        <w:rPr>
          <w:rFonts w:ascii="Arial" w:hAnsi="Arial" w:cs="Arial" w:eastAsiaTheme="minorEastAsia"/>
        </w:rPr>
        <w:t>, over which it was calculated and the frequency of the collection of data.</w:t>
      </w:r>
      <w:r w:rsidRPr="505EB5E8" w:rsidR="003F0F79">
        <w:rPr>
          <w:rFonts w:ascii="Arial" w:hAnsi="Arial" w:cs="Arial" w:eastAsiaTheme="minorEastAsia"/>
        </w:rPr>
        <w:t xml:space="preserve"> The </w:t>
      </w:r>
      <m:oMath>
        <m:sSubSup>
          <m:sSubSupPr>
            <m:ctrlPr>
              <w:rPr>
                <w:rFonts w:ascii="Cambria Math" w:hAnsi="Cambria Math" w:cs="Arial" w:eastAsiaTheme="minorEastAsia"/>
                <w:i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lang w:val="el-GR"/>
              </w:rPr>
              <m:t>β</m:t>
            </m:r>
          </m:e>
          <m:sub>
            <m:r>
              <w:rPr>
                <w:rFonts w:ascii="Cambria Math" w:hAnsi="Cambria Math" w:cs="Arial" w:eastAsiaTheme="minorEastAsia"/>
              </w:rPr>
              <m:t>e</m:t>
            </m:r>
          </m:sub>
          <m:sup>
            <m:r>
              <w:rPr>
                <w:rFonts w:ascii="Cambria Math" w:hAnsi="Cambria Math" w:cs="Arial" w:eastAsiaTheme="minorEastAsia"/>
              </w:rPr>
              <m:t>*</m:t>
            </m:r>
          </m:sup>
        </m:sSubSup>
      </m:oMath>
      <w:r w:rsidRPr="505EB5E8" w:rsidR="005E396C">
        <w:rPr>
          <w:rFonts w:ascii="Arial" w:hAnsi="Arial" w:cs="Arial" w:eastAsiaTheme="minorEastAsia"/>
        </w:rPr>
        <w:t xml:space="preserve"> taken directly from Eikon </w:t>
      </w:r>
      <w:r w:rsidRPr="505EB5E8" w:rsidR="0065634F">
        <w:rPr>
          <w:rFonts w:ascii="Arial" w:hAnsi="Arial" w:cs="Arial" w:eastAsiaTheme="minorEastAsia"/>
        </w:rPr>
        <w:t xml:space="preserve">is calculated over a </w:t>
      </w:r>
      <w:r w:rsidRPr="505EB5E8" w:rsidR="0072034C">
        <w:rPr>
          <w:rFonts w:ascii="Arial" w:hAnsi="Arial" w:cs="Arial" w:eastAsiaTheme="minorEastAsia"/>
        </w:rPr>
        <w:t>5-year</w:t>
      </w:r>
      <w:r w:rsidRPr="505EB5E8" w:rsidR="0065634F">
        <w:rPr>
          <w:rFonts w:ascii="Arial" w:hAnsi="Arial" w:cs="Arial" w:eastAsiaTheme="minorEastAsia"/>
        </w:rPr>
        <w:t xml:space="preserve"> peri</w:t>
      </w:r>
      <w:r w:rsidRPr="505EB5E8" w:rsidR="00784895">
        <w:rPr>
          <w:rFonts w:ascii="Arial" w:hAnsi="Arial" w:cs="Arial" w:eastAsiaTheme="minorEastAsia"/>
        </w:rPr>
        <w:t xml:space="preserve">od, with information taken monthly. </w:t>
      </w:r>
      <w:r w:rsidRPr="505EB5E8" w:rsidR="006328ED">
        <w:rPr>
          <w:rFonts w:ascii="Arial" w:hAnsi="Arial" w:cs="Arial" w:eastAsiaTheme="minorEastAsia"/>
        </w:rPr>
        <w:t xml:space="preserve">The accuracy of estimation for company B’s beta of equity would most certainly increase if either the </w:t>
      </w:r>
      <w:proofErr w:type="gramStart"/>
      <w:r w:rsidRPr="505EB5E8" w:rsidR="006328ED">
        <w:rPr>
          <w:rFonts w:ascii="Arial" w:hAnsi="Arial" w:cs="Arial" w:eastAsiaTheme="minorEastAsia"/>
        </w:rPr>
        <w:t>time period</w:t>
      </w:r>
      <w:proofErr w:type="gramEnd"/>
      <w:r w:rsidRPr="505EB5E8" w:rsidR="006328ED">
        <w:rPr>
          <w:rFonts w:ascii="Arial" w:hAnsi="Arial" w:cs="Arial" w:eastAsiaTheme="minorEastAsia"/>
        </w:rPr>
        <w:t xml:space="preserve"> or the frequency of data was to increase.</w:t>
      </w:r>
      <w:r w:rsidRPr="505EB5E8" w:rsidR="4DD7101A">
        <w:rPr>
          <w:rFonts w:ascii="Arial" w:hAnsi="Arial" w:cs="Arial" w:eastAsiaTheme="minorEastAsia"/>
        </w:rPr>
        <w:t xml:space="preserve"> (394)</w:t>
      </w:r>
    </w:p>
    <w:p w:rsidR="47BBD9C6" w:rsidP="47BBD9C6" w:rsidRDefault="47BBD9C6" w14:paraId="74328CF4" w14:textId="15096397">
      <w:pPr>
        <w:jc w:val="both"/>
        <w:rPr>
          <w:rFonts w:ascii="Arial" w:hAnsi="Arial" w:cs="Arial" w:eastAsiaTheme="minorEastAsia"/>
        </w:rPr>
      </w:pPr>
    </w:p>
    <w:p w:rsidR="47BBD9C6" w:rsidP="47BBD9C6" w:rsidRDefault="47BBD9C6" w14:paraId="2713EEB3" w14:textId="48870613">
      <w:pPr>
        <w:jc w:val="both"/>
        <w:rPr>
          <w:rFonts w:ascii="Arial" w:hAnsi="Arial" w:cs="Arial" w:eastAsiaTheme="minorEastAsia"/>
        </w:rPr>
      </w:pPr>
    </w:p>
    <w:p w:rsidR="47BBD9C6" w:rsidP="47BBD9C6" w:rsidRDefault="47BBD9C6" w14:paraId="0EC5D9E0" w14:textId="7E8240E9">
      <w:pPr>
        <w:jc w:val="both"/>
        <w:rPr>
          <w:rFonts w:ascii="Arial" w:hAnsi="Arial" w:cs="Arial" w:eastAsiaTheme="minorEastAsia"/>
        </w:rPr>
      </w:pPr>
    </w:p>
    <w:p w:rsidR="47BBD9C6" w:rsidP="47BBD9C6" w:rsidRDefault="47BBD9C6" w14:paraId="4C49074D" w14:textId="5E7BAC57">
      <w:pPr>
        <w:jc w:val="both"/>
        <w:rPr>
          <w:rFonts w:ascii="Arial" w:hAnsi="Arial" w:cs="Arial" w:eastAsiaTheme="minorEastAsia"/>
        </w:rPr>
      </w:pPr>
    </w:p>
    <w:p w:rsidR="47BBD9C6" w:rsidP="47BBD9C6" w:rsidRDefault="47BBD9C6" w14:paraId="24CB9BE7" w14:textId="561DB6DE">
      <w:pPr>
        <w:jc w:val="both"/>
        <w:rPr>
          <w:rFonts w:ascii="Arial" w:hAnsi="Arial" w:cs="Arial" w:eastAsiaTheme="minorEastAsia"/>
        </w:rPr>
      </w:pPr>
    </w:p>
    <w:p w:rsidR="47BBD9C6" w:rsidP="47BBD9C6" w:rsidRDefault="47BBD9C6" w14:paraId="4687BDB4" w14:textId="7A689302">
      <w:pPr>
        <w:jc w:val="both"/>
        <w:rPr>
          <w:rFonts w:ascii="Arial" w:hAnsi="Arial" w:cs="Arial" w:eastAsiaTheme="minorEastAsia"/>
        </w:rPr>
      </w:pPr>
    </w:p>
    <w:p w:rsidR="47BBD9C6" w:rsidP="47BBD9C6" w:rsidRDefault="47BBD9C6" w14:paraId="1D1FE99B" w14:textId="00D66357">
      <w:pPr>
        <w:jc w:val="both"/>
        <w:rPr>
          <w:rFonts w:ascii="Arial" w:hAnsi="Arial" w:cs="Arial" w:eastAsiaTheme="minorEastAsia"/>
        </w:rPr>
      </w:pPr>
    </w:p>
    <w:p w:rsidR="47BBD9C6" w:rsidP="47BBD9C6" w:rsidRDefault="47BBD9C6" w14:paraId="11DDCF24" w14:textId="44F38C82">
      <w:pPr>
        <w:jc w:val="both"/>
        <w:rPr>
          <w:rFonts w:ascii="Arial" w:hAnsi="Arial" w:cs="Arial" w:eastAsiaTheme="minorEastAsia"/>
        </w:rPr>
      </w:pPr>
    </w:p>
    <w:p w:rsidR="44F06FA1" w:rsidP="76832B23" w:rsidRDefault="2DA3D81A" w14:paraId="523902F4" w14:textId="717EFFD4">
      <w:pPr>
        <w:jc w:val="both"/>
        <w:rPr>
          <w:rFonts w:ascii="Arial" w:hAnsi="Arial" w:cs="Arial" w:eastAsiaTheme="minorEastAsia"/>
          <w:color w:val="8EAADB" w:themeColor="accent1" w:themeTint="99"/>
          <w:sz w:val="26"/>
          <w:szCs w:val="26"/>
        </w:rPr>
      </w:pPr>
      <w:r w:rsidRPr="76832B23">
        <w:rPr>
          <w:rFonts w:ascii="Arial" w:hAnsi="Arial" w:cs="Arial" w:eastAsiaTheme="minorEastAsia"/>
          <w:color w:val="2F5496" w:themeColor="accent1" w:themeShade="BF"/>
          <w:sz w:val="26"/>
          <w:szCs w:val="26"/>
        </w:rPr>
        <w:t>Sensitivity Analysis:</w:t>
      </w:r>
    </w:p>
    <w:p w:rsidR="44F06FA1" w:rsidP="47BBD9C6" w:rsidRDefault="44F06FA1" w14:paraId="4A78F363" w14:textId="4EEEF0A5">
      <w:pPr>
        <w:ind w:firstLine="720"/>
        <w:jc w:val="both"/>
        <w:rPr>
          <w:rFonts w:ascii="Arial" w:hAnsi="Arial" w:eastAsia="Arial" w:cs="Arial"/>
        </w:rPr>
      </w:pPr>
      <w:r w:rsidRPr="47BBD9C6">
        <w:rPr>
          <w:rFonts w:ascii="Arial" w:hAnsi="Arial" w:eastAsia="Arial" w:cs="Arial"/>
        </w:rPr>
        <w:t xml:space="preserve">The role of sensitivity analysis in capital budgeting is to prepare for circumstances in which the </w:t>
      </w:r>
      <w:r w:rsidRPr="1F157C5F" w:rsidR="61EC3BCB">
        <w:rPr>
          <w:rFonts w:ascii="Arial" w:hAnsi="Arial" w:eastAsia="Arial" w:cs="Arial"/>
        </w:rPr>
        <w:t>devised</w:t>
      </w:r>
      <w:r w:rsidRPr="47BBD9C6">
        <w:rPr>
          <w:rFonts w:ascii="Arial" w:hAnsi="Arial" w:eastAsia="Arial" w:cs="Arial"/>
        </w:rPr>
        <w:t xml:space="preserve"> calculations and estimates are deemed unreliable. By using company B as a benchmark to calculate the required WACC, company A creates a realistic model for their purposes of </w:t>
      </w:r>
      <w:r w:rsidRPr="47BBD9C6" w:rsidR="6CF78E38">
        <w:rPr>
          <w:rFonts w:ascii="Arial" w:hAnsi="Arial" w:eastAsia="Arial" w:cs="Arial"/>
        </w:rPr>
        <w:t>project valuation</w:t>
      </w:r>
      <w:r w:rsidRPr="47BBD9C6">
        <w:rPr>
          <w:rFonts w:ascii="Arial" w:hAnsi="Arial" w:eastAsia="Arial" w:cs="Arial"/>
        </w:rPr>
        <w:t xml:space="preserve">. However, as company B has been established in the field of food manufacturing for over 45 years, they have a much more efficient process of reducing overhead costs, variable costs, and fixed costs on their production. To base the entire WACC off their current financials would create a certain margin for error. </w:t>
      </w:r>
      <w:proofErr w:type="gramStart"/>
      <w:r w:rsidRPr="47BBD9C6">
        <w:rPr>
          <w:rFonts w:ascii="Arial" w:hAnsi="Arial" w:eastAsia="Arial" w:cs="Arial"/>
        </w:rPr>
        <w:t>In order to</w:t>
      </w:r>
      <w:proofErr w:type="gramEnd"/>
      <w:r w:rsidRPr="47BBD9C6">
        <w:rPr>
          <w:rFonts w:ascii="Arial" w:hAnsi="Arial" w:eastAsia="Arial" w:cs="Arial"/>
        </w:rPr>
        <w:t xml:space="preserve"> prepare for this uncertainty, the sensitivity analysis provides an in-depth look at input variables that would influence the overall WACC.</w:t>
      </w:r>
    </w:p>
    <w:p w:rsidRPr="0028234B" w:rsidR="407820C8" w:rsidP="1705FFE6" w:rsidRDefault="0028234B" w14:paraId="6897B0AF" w14:textId="50D4CA63">
      <w:pPr>
        <w:ind w:firstLine="720"/>
        <w:jc w:val="both"/>
        <w:rPr>
          <w:rFonts w:ascii="Arial" w:hAnsi="Arial" w:eastAsia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BEAB2B" wp14:editId="78C7FFBD">
            <wp:simplePos x="0" y="0"/>
            <wp:positionH relativeFrom="margin">
              <wp:posOffset>1315174</wp:posOffset>
            </wp:positionH>
            <wp:positionV relativeFrom="paragraph">
              <wp:posOffset>1530882</wp:posOffset>
            </wp:positionV>
            <wp:extent cx="3501390" cy="2353310"/>
            <wp:effectExtent l="0" t="0" r="3810" b="8890"/>
            <wp:wrapTopAndBottom/>
            <wp:docPr id="690901456" name="Picture 690901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39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76832B23" w:rsidR="5C098D67">
        <w:rPr>
          <w:rFonts w:ascii="Arial" w:hAnsi="Arial" w:eastAsia="Arial" w:cs="Arial"/>
        </w:rPr>
        <w:t xml:space="preserve">The biggest impact on the WACC is the capital structure taken on </w:t>
      </w:r>
      <w:r w:rsidRPr="76832B23" w:rsidR="05E2FAD4">
        <w:rPr>
          <w:rFonts w:ascii="Arial" w:hAnsi="Arial" w:eastAsia="Arial" w:cs="Arial"/>
        </w:rPr>
        <w:t xml:space="preserve">to finance the project of Company A. </w:t>
      </w:r>
      <w:r w:rsidRPr="76832B23" w:rsidR="724B0B04">
        <w:rPr>
          <w:rFonts w:ascii="Arial" w:hAnsi="Arial" w:eastAsia="Arial" w:cs="Arial"/>
        </w:rPr>
        <w:t xml:space="preserve">Although the tax benefits of debt financing are attractive, the </w:t>
      </w:r>
      <w:r w:rsidRPr="76832B23" w:rsidR="5517B8A7">
        <w:rPr>
          <w:rFonts w:ascii="Arial" w:hAnsi="Arial" w:eastAsia="Arial" w:cs="Arial"/>
        </w:rPr>
        <w:t>uncontrollable residual impacts of Brexit and C</w:t>
      </w:r>
      <w:r w:rsidR="00FE2F08">
        <w:rPr>
          <w:rFonts w:ascii="Arial" w:hAnsi="Arial" w:eastAsia="Arial" w:cs="Arial"/>
        </w:rPr>
        <w:t>OVID</w:t>
      </w:r>
      <w:r w:rsidRPr="76832B23" w:rsidR="5517B8A7">
        <w:rPr>
          <w:rFonts w:ascii="Arial" w:hAnsi="Arial" w:eastAsia="Arial" w:cs="Arial"/>
        </w:rPr>
        <w:t xml:space="preserve"> create an unpredictable outcome. </w:t>
      </w:r>
      <w:r w:rsidRPr="76832B23" w:rsidR="75775929">
        <w:rPr>
          <w:rFonts w:ascii="Arial" w:hAnsi="Arial" w:eastAsia="Arial" w:cs="Arial"/>
        </w:rPr>
        <w:t>The Bank of England has currently agreed to hold the rate at .10%</w:t>
      </w:r>
      <w:r w:rsidRPr="76832B23" w:rsidR="51EC221C">
        <w:rPr>
          <w:rFonts w:ascii="Arial" w:hAnsi="Arial" w:eastAsia="Arial" w:cs="Arial"/>
        </w:rPr>
        <w:t xml:space="preserve"> </w:t>
      </w:r>
      <w:r w:rsidRPr="76832B23" w:rsidR="2CFCAB44">
        <w:rPr>
          <w:rFonts w:ascii="Arial" w:hAnsi="Arial" w:eastAsia="Arial" w:cs="Arial"/>
        </w:rPr>
        <w:t xml:space="preserve">(until the next addendum) </w:t>
      </w:r>
      <w:r w:rsidRPr="76832B23" w:rsidR="51EC221C">
        <w:rPr>
          <w:rFonts w:ascii="Arial" w:hAnsi="Arial" w:eastAsia="Arial" w:cs="Arial"/>
        </w:rPr>
        <w:t>when just previously interest rate</w:t>
      </w:r>
      <w:r w:rsidRPr="76832B23" w:rsidR="2F70467C">
        <w:rPr>
          <w:rFonts w:ascii="Arial" w:hAnsi="Arial" w:eastAsia="Arial" w:cs="Arial"/>
        </w:rPr>
        <w:t>s</w:t>
      </w:r>
      <w:r w:rsidRPr="76832B23" w:rsidR="51EC221C">
        <w:rPr>
          <w:rFonts w:ascii="Arial" w:hAnsi="Arial" w:eastAsia="Arial" w:cs="Arial"/>
        </w:rPr>
        <w:t xml:space="preserve"> had dropped from .75% to </w:t>
      </w:r>
      <w:r w:rsidRPr="76832B23" w:rsidR="407820C8">
        <w:rPr>
          <w:rFonts w:ascii="Arial" w:hAnsi="Arial" w:eastAsia="Arial" w:cs="Arial"/>
        </w:rPr>
        <w:t>.25% in March</w:t>
      </w:r>
      <w:r w:rsidR="0028234B">
        <w:rPr>
          <w:rFonts w:ascii="Arial" w:hAnsi="Arial" w:eastAsia="Arial" w:cs="Arial"/>
        </w:rPr>
        <w:t xml:space="preserve"> </w:t>
      </w:r>
      <w:r w:rsidRPr="76832B23" w:rsidR="407820C8">
        <w:rPr>
          <w:rFonts w:ascii="Arial" w:hAnsi="Arial" w:eastAsia="Arial" w:cs="Arial"/>
        </w:rPr>
        <w:t>due to the bearish impact of COVID.</w:t>
      </w:r>
      <w:r w:rsidRPr="76832B23" w:rsidR="3EBC1F24">
        <w:rPr>
          <w:rFonts w:ascii="Arial" w:hAnsi="Arial" w:eastAsia="Arial" w:cs="Arial"/>
        </w:rPr>
        <w:t xml:space="preserve"> </w:t>
      </w:r>
      <w:r w:rsidRPr="76832B23" w:rsidR="0F423EA4">
        <w:rPr>
          <w:rFonts w:ascii="Arial" w:hAnsi="Arial" w:eastAsia="Arial" w:cs="Arial"/>
        </w:rPr>
        <w:t xml:space="preserve">The values for the cost of debt were compared to the industry average (food wholesale) which was roughly 3.3%. By inputting </w:t>
      </w:r>
      <w:r w:rsidRPr="76832B23" w:rsidR="0750551C">
        <w:rPr>
          <w:rFonts w:ascii="Arial" w:hAnsi="Arial" w:eastAsia="Arial" w:cs="Arial"/>
        </w:rPr>
        <w:t xml:space="preserve">numbers in small increments along this range, we found that a realistic upper bound for the WACC is 10.96%.</w:t>
      </w:r>
      <w:r w:rsidRPr="76832B23" w:rsidR="3E1B66C9">
        <w:rPr>
          <w:rFonts w:ascii="Arial" w:hAnsi="Arial" w:eastAsia="Arial" w:cs="Arial"/>
        </w:rPr>
        <w:t xml:space="preserve"> This was estimated </w:t>
      </w:r>
    </w:p>
    <w:p w:rsidRPr="0028234B" w:rsidR="407820C8" w:rsidP="1705FFE6" w:rsidRDefault="0028234B" w14:paraId="63A8E174" w14:textId="1C7482AB">
      <w:pPr>
        <w:ind w:firstLine="720"/>
        <w:jc w:val="both"/>
        <w:rPr>
          <w:rFonts w:ascii="Arial" w:hAnsi="Arial" w:eastAsia="Arial" w:cs="Arial"/>
        </w:rPr>
      </w:pPr>
      <w:r w:rsidRPr="76832B23" w:rsidR="73FB343D">
        <w:rPr>
          <w:rFonts w:ascii="Arial" w:hAnsi="Arial" w:eastAsia="Arial" w:cs="Arial"/>
        </w:rPr>
        <w:t xml:space="preserve"> As seen in the figure below</w:t>
      </w:r>
      <w:r w:rsidRPr="76832B23" w:rsidR="23AF2246">
        <w:rPr>
          <w:rFonts w:ascii="Arial" w:hAnsi="Arial" w:eastAsia="Arial" w:cs="Arial"/>
        </w:rPr>
        <w:t>, using a range of equity premiums</w:t>
      </w:r>
      <w:r w:rsidRPr="76832B23" w:rsidR="407820C8">
        <w:rPr>
          <w:rFonts w:ascii="Arial" w:hAnsi="Arial" w:eastAsia="Arial" w:cs="Arial"/>
        </w:rPr>
        <w:t xml:space="preserve"> </w:t>
      </w:r>
      <w:r w:rsidRPr="76832B23" w:rsidR="48A84232">
        <w:rPr>
          <w:rFonts w:ascii="Arial" w:hAnsi="Arial" w:eastAsia="Arial" w:cs="Arial"/>
        </w:rPr>
        <w:t>caused the overall WACC to vary by nearly</w:t>
      </w:r>
      <w:r w:rsidRPr="76832B23" w:rsidR="407820C8">
        <w:rPr>
          <w:rFonts w:ascii="Arial" w:hAnsi="Arial" w:eastAsia="Arial" w:cs="Arial"/>
        </w:rPr>
        <w:t xml:space="preserve"> </w:t>
      </w:r>
      <w:r w:rsidRPr="76832B23" w:rsidR="48A84232">
        <w:rPr>
          <w:rFonts w:ascii="Arial" w:hAnsi="Arial" w:eastAsia="Arial" w:cs="Arial"/>
        </w:rPr>
        <w:t>10%</w:t>
      </w:r>
      <w:r w:rsidRPr="76832B23" w:rsidR="0039062A">
        <w:rPr>
          <w:rFonts w:ascii="Arial" w:hAnsi="Arial" w:eastAsia="Arial" w:cs="Arial"/>
        </w:rPr>
        <w:t>. In a study conducted by KPMG, analysts suggested using a market premium of 6.75% as investors would require a higher return over the risk</w:t>
      </w:r>
      <w:r w:rsidRPr="76832B23" w:rsidR="419EBD10">
        <w:rPr>
          <w:rFonts w:ascii="Arial" w:hAnsi="Arial" w:eastAsia="Arial" w:cs="Arial"/>
        </w:rPr>
        <w:t>-free rate to hold stock in the current financial environment</w:t>
      </w:r>
      <w:r w:rsidRPr="76832B23" w:rsidR="3A3BB899">
        <w:rPr>
          <w:rFonts w:ascii="Arial" w:hAnsi="Arial" w:eastAsia="Arial" w:cs="Arial"/>
        </w:rPr>
        <w:t xml:space="preserve">. By inputting incremented values along this range, we found that equity premium impacts not only the cost of equity but the overall WACC very significantly. </w:t>
      </w:r>
      <w:r w:rsidRPr="76832B23" w:rsidR="0FF23998">
        <w:rPr>
          <w:rFonts w:ascii="Arial" w:hAnsi="Arial" w:eastAsia="Arial" w:cs="Arial"/>
        </w:rPr>
        <w:t>This calculation was used to find the upper bound of 12.2%.</w:t>
      </w:r>
    </w:p>
    <w:p w:rsidR="1705FFE6" w:rsidP="1705FFE6" w:rsidRDefault="1705FFE6" w14:paraId="2EC79429" w14:textId="39DD700E">
      <w:pPr>
        <w:pStyle w:val="Normal"/>
        <w:ind w:firstLine="720"/>
        <w:jc w:val="both"/>
        <w:rPr>
          <w:rFonts w:ascii="Arial" w:hAnsi="Arial" w:eastAsia="Arial" w:cs="Arial"/>
        </w:rPr>
      </w:pPr>
    </w:p>
    <w:p w:rsidR="407820C8" w:rsidP="76832B23" w:rsidRDefault="407820C8" w14:paraId="08BB166A" w14:textId="078B46BC">
      <w:pPr>
        <w:ind w:firstLine="720"/>
        <w:jc w:val="both"/>
        <w:rPr>
          <w:rFonts w:ascii="Arial" w:hAnsi="Arial" w:eastAsia="Arial" w:cs="Arial"/>
        </w:rPr>
      </w:pPr>
    </w:p>
    <w:p w:rsidR="1705FFE6" w:rsidP="1705FFE6" w:rsidRDefault="1705FFE6" w14:paraId="60F5DA55" w14:textId="724800E1">
      <w:pPr>
        <w:jc w:val="both"/>
      </w:pPr>
    </w:p>
    <w:p w:rsidR="1705FFE6" w:rsidP="1705FFE6" w:rsidRDefault="1705FFE6" w14:paraId="44A7705A" w14:textId="532FC626">
      <w:pPr>
        <w:jc w:val="both"/>
      </w:pPr>
    </w:p>
    <w:p w:rsidR="1705FFE6" w:rsidP="1705FFE6" w:rsidRDefault="1705FFE6" w14:paraId="71D79EB2" w14:textId="614A656A">
      <w:pPr>
        <w:jc w:val="both"/>
      </w:pPr>
    </w:p>
    <w:p w:rsidR="1705FFE6" w:rsidP="1705FFE6" w:rsidRDefault="1705FFE6" w14:paraId="3077E235" w14:textId="2352A0B2">
      <w:pPr>
        <w:jc w:val="both"/>
      </w:pPr>
    </w:p>
    <w:p w:rsidR="76832B23" w:rsidP="76832B23" w:rsidRDefault="00F56154" w14:paraId="5CA1B5BC" w14:textId="6DFC85AA">
      <w:pPr>
        <w:jc w:val="both"/>
      </w:pPr>
      <w:r>
        <w:rPr>
          <w:noProof/>
        </w:rPr>
        <w:drawing>
          <wp:inline distT="0" distB="0" distL="0" distR="0" wp14:anchorId="0BA0C56B" wp14:editId="46CDE604">
            <wp:extent cx="5467350" cy="3710763"/>
            <wp:effectExtent l="0" t="0" r="0" b="44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53CA2E8-8DDD-4AFB-B58D-E30D8538B2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76832B23" w:rsidP="76832B23" w:rsidRDefault="76832B23" w14:paraId="1EDB7A29" w14:textId="0B7ED7CE">
      <w:pPr>
        <w:jc w:val="both"/>
      </w:pPr>
    </w:p>
    <w:p w:rsidR="76832B23" w:rsidP="76832B23" w:rsidRDefault="76832B23" w14:paraId="635E8FEE" w14:textId="4BDCF57B">
      <w:pPr>
        <w:ind w:firstLine="720"/>
        <w:jc w:val="both"/>
        <w:rPr>
          <w:rFonts w:ascii="Arial" w:hAnsi="Arial" w:eastAsia="Arial" w:cs="Arial"/>
        </w:rPr>
      </w:pPr>
    </w:p>
    <w:p w:rsidR="47BBD9C6" w:rsidP="76832B23" w:rsidRDefault="47BBD9C6" w14:paraId="1F9244AE" w14:textId="166394BF">
      <w:pPr>
        <w:ind w:firstLine="720"/>
        <w:jc w:val="both"/>
        <w:rPr>
          <w:rFonts w:ascii="Arial" w:hAnsi="Arial" w:eastAsia="Arial" w:cs="Arial"/>
        </w:rPr>
      </w:pPr>
    </w:p>
    <w:p w:rsidR="47BBD9C6" w:rsidP="1F157C5F" w:rsidRDefault="47BBD9C6" w14:paraId="7C99770C" w14:textId="7BFC26AC">
      <w:pPr>
        <w:ind w:firstLine="720"/>
        <w:jc w:val="both"/>
        <w:rPr>
          <w:rFonts w:ascii="Arial" w:hAnsi="Arial" w:eastAsia="Arial" w:cs="Arial"/>
        </w:rPr>
      </w:pPr>
    </w:p>
    <w:p w:rsidR="47BBD9C6" w:rsidP="1F157C5F" w:rsidRDefault="4E297B4F" w14:paraId="4E7CA75C" w14:textId="01AF36BF">
      <w:pPr>
        <w:jc w:val="both"/>
        <w:rPr>
          <w:rFonts w:ascii="Arial" w:hAnsi="Arial" w:eastAsia="Arial" w:cs="Arial"/>
        </w:rPr>
      </w:pPr>
      <w:r w:rsidRPr="1F157C5F">
        <w:rPr>
          <w:rFonts w:ascii="Arial" w:hAnsi="Arial" w:eastAsia="Arial" w:cs="Arial"/>
        </w:rPr>
        <w:t>Conclusion:</w:t>
      </w:r>
    </w:p>
    <w:p w:rsidR="47BBD9C6" w:rsidP="00F2787F" w:rsidRDefault="477AAC0B" w14:paraId="49DDFDD3" w14:textId="05A58756">
      <w:pPr>
        <w:ind w:firstLine="720"/>
        <w:jc w:val="both"/>
        <w:rPr>
          <w:rFonts w:ascii="Arial" w:hAnsi="Arial" w:eastAsia="Arial" w:cs="Arial"/>
        </w:rPr>
      </w:pPr>
      <w:r w:rsidRPr="1F157C5F">
        <w:rPr>
          <w:rFonts w:ascii="Arial" w:hAnsi="Arial" w:eastAsia="Arial" w:cs="Arial"/>
        </w:rPr>
        <w:t>From the conducted sensitivity analysis, it can</w:t>
      </w:r>
      <w:r w:rsidRPr="1F157C5F" w:rsidR="0952EC98">
        <w:rPr>
          <w:rFonts w:ascii="Arial" w:hAnsi="Arial" w:eastAsia="Arial" w:cs="Arial"/>
        </w:rPr>
        <w:t xml:space="preserve"> be </w:t>
      </w:r>
      <w:r w:rsidRPr="1F157C5F">
        <w:rPr>
          <w:rFonts w:ascii="Arial" w:hAnsi="Arial" w:eastAsia="Arial" w:cs="Arial"/>
        </w:rPr>
        <w:t xml:space="preserve">inferred that the optimal discount rate to use for project appraisals lies between x and </w:t>
      </w:r>
      <w:r w:rsidRPr="1F157C5F" w:rsidR="5039F477">
        <w:rPr>
          <w:rFonts w:ascii="Arial" w:hAnsi="Arial" w:eastAsia="Arial" w:cs="Arial"/>
        </w:rPr>
        <w:t>12.2%</w:t>
      </w:r>
      <w:r w:rsidRPr="1F157C5F" w:rsidR="0EAEF001">
        <w:rPr>
          <w:rFonts w:ascii="Arial" w:hAnsi="Arial" w:eastAsia="Arial" w:cs="Arial"/>
        </w:rPr>
        <w:t xml:space="preserve">. </w:t>
      </w:r>
      <w:r w:rsidRPr="1F157C5F" w:rsidR="66F41B78">
        <w:rPr>
          <w:rFonts w:ascii="Arial" w:hAnsi="Arial" w:eastAsia="Arial" w:cs="Arial"/>
        </w:rPr>
        <w:t>Company A’s WACC appears to be sensitive to changes in the Equity Market Premium and the cost of debt</w:t>
      </w:r>
      <w:r w:rsidRPr="1F157C5F" w:rsidR="49B05CA9">
        <w:rPr>
          <w:rFonts w:ascii="Arial" w:hAnsi="Arial" w:eastAsia="Arial" w:cs="Arial"/>
        </w:rPr>
        <w:t>. Due to current rise in risk levels, a higher equity premium will be required</w:t>
      </w:r>
      <w:r w:rsidRPr="1F157C5F" w:rsidR="47BBD9C6">
        <w:rPr>
          <w:rStyle w:val="FootnoteReference"/>
          <w:rFonts w:ascii="Arial" w:hAnsi="Arial" w:eastAsia="Arial" w:cs="Arial"/>
        </w:rPr>
        <w:footnoteReference w:id="2"/>
      </w:r>
      <w:r w:rsidRPr="1F157C5F" w:rsidR="49B05CA9">
        <w:rPr>
          <w:rFonts w:ascii="Arial" w:hAnsi="Arial" w:eastAsia="Arial" w:cs="Arial"/>
        </w:rPr>
        <w:t xml:space="preserve"> for investors to hold stock in Company A, increasing th</w:t>
      </w:r>
      <w:r w:rsidRPr="1F157C5F" w:rsidR="16F80966">
        <w:rPr>
          <w:rFonts w:ascii="Arial" w:hAnsi="Arial" w:eastAsia="Arial" w:cs="Arial"/>
        </w:rPr>
        <w:t xml:space="preserve">e cost of equity and the WACC. </w:t>
      </w:r>
      <w:r w:rsidRPr="1F157C5F" w:rsidR="10DCD863">
        <w:rPr>
          <w:rFonts w:ascii="Arial" w:hAnsi="Arial" w:eastAsia="Arial" w:cs="Arial"/>
        </w:rPr>
        <w:t>However, the WACC appeared to be less sensitive</w:t>
      </w:r>
      <w:r w:rsidR="2125E887">
        <w:rPr>
          <w:rFonts w:ascii="Arial" w:hAnsi="Arial" w:eastAsia="Arial" w:cs="Arial"/>
        </w:rPr>
        <w:t xml:space="preserve"> to</w:t>
      </w:r>
      <w:r w:rsidRPr="1F157C5F" w:rsidR="10DCD863">
        <w:rPr>
          <w:rFonts w:ascii="Arial" w:hAnsi="Arial" w:eastAsia="Arial" w:cs="Arial"/>
        </w:rPr>
        <w:t xml:space="preserve"> changes </w:t>
      </w:r>
      <w:r w:rsidR="2125E887">
        <w:rPr>
          <w:rFonts w:ascii="Arial" w:hAnsi="Arial" w:eastAsia="Arial" w:cs="Arial"/>
        </w:rPr>
        <w:t>in</w:t>
      </w:r>
      <w:r w:rsidRPr="1F157C5F" w:rsidR="10DCD863">
        <w:rPr>
          <w:rFonts w:ascii="Arial" w:hAnsi="Arial" w:eastAsia="Arial" w:cs="Arial"/>
        </w:rPr>
        <w:t xml:space="preserve"> the cost of debt, as </w:t>
      </w:r>
      <w:r w:rsidRPr="1F157C5F" w:rsidR="123E8A7E">
        <w:rPr>
          <w:rFonts w:ascii="Arial" w:hAnsi="Arial" w:eastAsia="Arial" w:cs="Arial"/>
        </w:rPr>
        <w:t xml:space="preserve">5% </w:t>
      </w:r>
      <w:r w:rsidRPr="1F157C5F" w:rsidR="10DCD863">
        <w:rPr>
          <w:rFonts w:ascii="Arial" w:hAnsi="Arial" w:eastAsia="Arial" w:cs="Arial"/>
        </w:rPr>
        <w:t xml:space="preserve">fluctuations only accounted for a </w:t>
      </w:r>
      <w:r w:rsidRPr="1F157C5F" w:rsidR="025AB578">
        <w:rPr>
          <w:rFonts w:ascii="Arial" w:hAnsi="Arial" w:eastAsia="Arial" w:cs="Arial"/>
        </w:rPr>
        <w:t xml:space="preserve">1.5% increase in the cost of capital. This would imply that the optimal capital structure would rely </w:t>
      </w:r>
      <w:r w:rsidRPr="1F157C5F" w:rsidR="21FED7A2">
        <w:rPr>
          <w:rFonts w:ascii="Arial" w:hAnsi="Arial" w:eastAsia="Arial" w:cs="Arial"/>
        </w:rPr>
        <w:t xml:space="preserve">on heavy debt financing despite the unpredictable nature in interest rates. Bond volatility is considerably less impactful than volatility in </w:t>
      </w:r>
      <w:r w:rsidRPr="1F157C5F" w:rsidR="2672C6EE">
        <w:rPr>
          <w:rFonts w:ascii="Arial" w:hAnsi="Arial" w:eastAsia="Arial" w:cs="Arial"/>
        </w:rPr>
        <w:t>stock.</w:t>
      </w:r>
    </w:p>
    <w:p w:rsidR="0D5984A3" w:rsidP="68606EBF" w:rsidRDefault="6C4023F4" w14:paraId="7F521086" w14:textId="1D35707C">
      <w:pPr>
        <w:ind w:firstLine="720"/>
        <w:jc w:val="both"/>
        <w:rPr>
          <w:rFonts w:ascii="Arial" w:hAnsi="Arial" w:eastAsia="Arial" w:cs="Arial"/>
        </w:rPr>
      </w:pPr>
      <w:r w:rsidRPr="125F48C7">
        <w:rPr>
          <w:rFonts w:ascii="Arial" w:hAnsi="Arial" w:eastAsia="Arial" w:cs="Arial"/>
        </w:rPr>
        <w:t>Cost of Debt vs WACC</w:t>
      </w:r>
    </w:p>
    <w:p w:rsidR="125F48C7" w:rsidP="125F48C7" w:rsidRDefault="125F48C7" w14:paraId="7121B8FF" w14:textId="08CFAB93">
      <w:pPr>
        <w:ind w:firstLine="720"/>
        <w:jc w:val="both"/>
        <w:rPr>
          <w:rFonts w:ascii="Arial" w:hAnsi="Arial" w:eastAsia="Arial" w:cs="Arial"/>
        </w:rPr>
      </w:pPr>
    </w:p>
    <w:p w:rsidR="65D9B8CE" w:rsidP="079F41BD" w:rsidRDefault="65D9B8CE" w14:paraId="3A954F90" w14:textId="49397BF9">
      <w:pPr>
        <w:ind w:firstLine="720"/>
        <w:jc w:val="both"/>
        <w:rPr>
          <w:rFonts w:ascii="Arial" w:hAnsi="Arial" w:eastAsia="Arial" w:cs="Arial"/>
        </w:rPr>
      </w:pPr>
      <w:r w:rsidRPr="079F41BD">
        <w:rPr>
          <w:rFonts w:ascii="Arial" w:hAnsi="Arial" w:eastAsia="Arial" w:cs="Arial"/>
        </w:rPr>
        <w:t>Citation list:</w:t>
      </w:r>
    </w:p>
    <w:p w:rsidR="65D9B8CE" w:rsidP="079F41BD" w:rsidRDefault="00BA5DDE" w14:paraId="50825547" w14:textId="06DD1D0F">
      <w:pPr>
        <w:ind w:firstLine="720"/>
        <w:jc w:val="both"/>
        <w:rPr>
          <w:rFonts w:ascii="Arial" w:hAnsi="Arial" w:eastAsia="Arial" w:cs="Arial"/>
        </w:rPr>
      </w:pPr>
      <w:hyperlink r:id="rId15">
        <w:r w:rsidRPr="079F41BD" w:rsidR="65D9B8CE">
          <w:rPr>
            <w:rStyle w:val="Hyperlink"/>
            <w:rFonts w:ascii="Arial" w:hAnsi="Arial" w:eastAsia="Arial" w:cs="Arial"/>
          </w:rPr>
          <w:t>http://www.market-risk-premia.com/gb.html</w:t>
        </w:r>
      </w:hyperlink>
    </w:p>
    <w:p w:rsidR="65D9B8CE" w:rsidP="079F41BD" w:rsidRDefault="00BA5DDE" w14:paraId="70ED2DDC" w14:textId="70ACEDD2">
      <w:pPr>
        <w:ind w:firstLine="720"/>
        <w:jc w:val="both"/>
        <w:rPr>
          <w:rFonts w:ascii="Arial" w:hAnsi="Arial" w:eastAsia="Arial" w:cs="Arial"/>
        </w:rPr>
      </w:pPr>
      <w:hyperlink r:id="rId16">
        <w:r w:rsidRPr="079F41BD" w:rsidR="65D9B8CE">
          <w:rPr>
            <w:rStyle w:val="Hyperlink"/>
            <w:rFonts w:ascii="Arial" w:hAnsi="Arial" w:eastAsia="Arial" w:cs="Arial"/>
          </w:rPr>
          <w:t>https://assets.kpmg/content/dam/kpmg/nl/pdf/2020/services/equitiy-market-risk-premium-research-summary-march-2020.pdf</w:t>
        </w:r>
      </w:hyperlink>
    </w:p>
    <w:p w:rsidR="079F41BD" w:rsidP="079F41BD" w:rsidRDefault="079F41BD" w14:paraId="2769984E" w14:textId="5339147D">
      <w:pPr>
        <w:ind w:firstLine="720"/>
        <w:jc w:val="both"/>
        <w:rPr>
          <w:rFonts w:ascii="Arial" w:hAnsi="Arial" w:eastAsia="Arial" w:cs="Arial"/>
        </w:rPr>
      </w:pPr>
    </w:p>
    <w:p w:rsidR="7DEEAC56" w:rsidP="079F41BD" w:rsidRDefault="00BA5DDE" w14:paraId="6DDAD74B" w14:textId="4BC53666">
      <w:pPr>
        <w:ind w:firstLine="720"/>
        <w:jc w:val="both"/>
        <w:rPr>
          <w:rFonts w:ascii="Arial" w:hAnsi="Arial" w:eastAsia="Arial" w:cs="Arial"/>
        </w:rPr>
      </w:pPr>
      <w:hyperlink r:id="rId17">
        <w:r w:rsidRPr="079F41BD" w:rsidR="7DEEAC56">
          <w:rPr>
            <w:rStyle w:val="Hyperlink"/>
            <w:rFonts w:ascii="Arial" w:hAnsi="Arial" w:eastAsia="Arial" w:cs="Arial"/>
          </w:rPr>
          <w:t>https://www.statista.com/statistics/664833/average-market-risk-premium-united-kingdom/</w:t>
        </w:r>
      </w:hyperlink>
    </w:p>
    <w:p w:rsidR="079F41BD" w:rsidP="079F41BD" w:rsidRDefault="00BA5DDE" w14:paraId="17164E37" w14:textId="71B4F796">
      <w:pPr>
        <w:ind w:firstLine="720"/>
        <w:jc w:val="both"/>
        <w:rPr>
          <w:rFonts w:ascii="Arial" w:hAnsi="Arial" w:eastAsia="Arial" w:cs="Arial"/>
        </w:rPr>
      </w:pPr>
      <w:hyperlink r:id="rId18">
        <w:r w:rsidRPr="125F48C7" w:rsidR="0C3C4481">
          <w:rPr>
            <w:rStyle w:val="Hyperlink"/>
            <w:rFonts w:ascii="Arial" w:hAnsi="Arial" w:eastAsia="Arial" w:cs="Arial"/>
          </w:rPr>
          <w:t>https://assets.kpmg/content/dam/kpmg/ch/pdf/cost-of-capital-study-2018.pdf</w:t>
        </w:r>
      </w:hyperlink>
    </w:p>
    <w:p w:rsidR="16F75065" w:rsidP="125F48C7" w:rsidRDefault="00BA5DDE" w14:paraId="61A13116" w14:textId="0AD51124">
      <w:pPr>
        <w:ind w:firstLine="720"/>
        <w:jc w:val="both"/>
        <w:rPr>
          <w:rFonts w:ascii="Arial" w:hAnsi="Arial" w:eastAsia="Arial" w:cs="Arial"/>
        </w:rPr>
      </w:pPr>
      <w:hyperlink r:id="rId19">
        <w:r w:rsidRPr="125F48C7" w:rsidR="16F75065">
          <w:rPr>
            <w:rStyle w:val="Hyperlink"/>
            <w:rFonts w:ascii="Arial" w:hAnsi="Arial" w:eastAsia="Arial" w:cs="Arial"/>
          </w:rPr>
          <w:t>https://www.which.co.uk/news/2020/11/what-will-the-brexit-trade-deal-and-coronavirus-mean-for-interest-rates/</w:t>
        </w:r>
      </w:hyperlink>
    </w:p>
    <w:p w:rsidR="16F75065" w:rsidP="125F48C7" w:rsidRDefault="00BA5DDE" w14:paraId="7A5CD4F6" w14:textId="2DC4B49A">
      <w:pPr>
        <w:ind w:firstLine="720"/>
        <w:jc w:val="both"/>
        <w:rPr>
          <w:rFonts w:ascii="Arial" w:hAnsi="Arial" w:eastAsia="Arial" w:cs="Arial"/>
        </w:rPr>
      </w:pPr>
      <w:hyperlink r:id="rId20">
        <w:r w:rsidRPr="125F48C7" w:rsidR="16F75065">
          <w:rPr>
            <w:rStyle w:val="Hyperlink"/>
            <w:rFonts w:ascii="Arial" w:hAnsi="Arial" w:eastAsia="Arial" w:cs="Arial"/>
          </w:rPr>
          <w:t>https://www.bankofengland.co.uk/boeapps/database/Bank-Rate.asp</w:t>
        </w:r>
      </w:hyperlink>
    </w:p>
    <w:p w:rsidR="125F48C7" w:rsidP="125F48C7" w:rsidRDefault="125F48C7" w14:paraId="0CAD5DA5" w14:textId="6DA8A9E9">
      <w:pPr>
        <w:ind w:firstLine="720"/>
        <w:jc w:val="both"/>
        <w:rPr>
          <w:rFonts w:ascii="Arial" w:hAnsi="Arial" w:eastAsia="Arial" w:cs="Arial"/>
        </w:rPr>
      </w:pPr>
    </w:p>
    <w:p w:rsidR="68606EBF" w:rsidP="68606EBF" w:rsidRDefault="68606EBF" w14:paraId="2DD678FB" w14:textId="7D51F132">
      <w:pPr>
        <w:ind w:firstLine="720"/>
        <w:jc w:val="both"/>
        <w:rPr>
          <w:rFonts w:ascii="Arial" w:hAnsi="Arial" w:eastAsia="Arial" w:cs="Arial"/>
        </w:rPr>
      </w:pPr>
    </w:p>
    <w:p w:rsidR="6B274928" w:rsidP="76832B23" w:rsidRDefault="6B274928" w14:paraId="160F21F4" w14:textId="4A2BD6F9">
      <w:pPr>
        <w:ind w:firstLine="720"/>
        <w:jc w:val="both"/>
        <w:rPr>
          <w:rFonts w:ascii="Arial" w:hAnsi="Arial" w:eastAsia="Arial" w:cs="Arial"/>
        </w:rPr>
      </w:pPr>
      <w:r w:rsidRPr="505EB5E8">
        <w:rPr>
          <w:rFonts w:ascii="Arial" w:hAnsi="Arial" w:eastAsia="Arial" w:cs="Arial"/>
        </w:rPr>
        <w:t xml:space="preserve">Deviation calculations: (Scratchwork to be deleted) </w:t>
      </w:r>
    </w:p>
    <w:p w:rsidR="6B274928" w:rsidP="76832B23" w:rsidRDefault="6B274928" w14:paraId="04E51ADB" w14:textId="48FF4EA1">
      <w:pPr>
        <w:ind w:firstLine="720"/>
        <w:jc w:val="both"/>
        <w:rPr>
          <w:rFonts w:ascii="Arial" w:hAnsi="Arial" w:eastAsia="Arial" w:cs="Arial"/>
        </w:rPr>
      </w:pPr>
      <w:r w:rsidRPr="505EB5E8">
        <w:rPr>
          <w:rFonts w:ascii="Arial" w:hAnsi="Arial" w:eastAsia="Arial" w:cs="Arial"/>
        </w:rPr>
        <w:t>Assuming 7.21% WACC is X bar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510"/>
      </w:tblGrid>
      <w:tr w:rsidR="76832B23" w:rsidTr="505EB5E8" w14:paraId="196134E4" w14:textId="77777777">
        <w:tc>
          <w:tcPr>
            <w:tcW w:w="2254" w:type="dxa"/>
          </w:tcPr>
          <w:p w:rsidR="43394009" w:rsidP="76832B23" w:rsidRDefault="43394009" w14:paraId="221048DE" w14:textId="095CAC65">
            <w:pPr>
              <w:rPr>
                <w:rFonts w:ascii="Arial" w:hAnsi="Arial" w:eastAsia="Arial" w:cs="Arial"/>
              </w:rPr>
            </w:pPr>
            <w:r w:rsidRPr="505EB5E8">
              <w:rPr>
                <w:rFonts w:ascii="Arial" w:hAnsi="Arial" w:eastAsia="Arial" w:cs="Arial"/>
              </w:rPr>
              <w:t>Xi cost of debt WACC</w:t>
            </w:r>
          </w:p>
        </w:tc>
        <w:tc>
          <w:tcPr>
            <w:tcW w:w="2254" w:type="dxa"/>
          </w:tcPr>
          <w:p w:rsidR="43394009" w:rsidP="76832B23" w:rsidRDefault="43394009" w14:paraId="5BFEC019" w14:textId="38215073">
            <w:pPr>
              <w:rPr>
                <w:rFonts w:ascii="Arial" w:hAnsi="Arial" w:eastAsia="Arial" w:cs="Arial"/>
              </w:rPr>
            </w:pPr>
            <w:r w:rsidRPr="505EB5E8">
              <w:rPr>
                <w:rFonts w:ascii="Arial" w:hAnsi="Arial" w:eastAsia="Arial" w:cs="Arial"/>
              </w:rPr>
              <w:t>(Xi-X)</w:t>
            </w:r>
          </w:p>
        </w:tc>
        <w:tc>
          <w:tcPr>
            <w:tcW w:w="2254" w:type="dxa"/>
          </w:tcPr>
          <w:p w:rsidR="43394009" w:rsidP="76832B23" w:rsidRDefault="43394009" w14:paraId="1CEEE10C" w14:textId="1E1574FA">
            <w:pPr>
              <w:rPr>
                <w:rFonts w:ascii="Arial" w:hAnsi="Arial" w:eastAsia="Arial" w:cs="Arial"/>
              </w:rPr>
            </w:pPr>
            <w:r w:rsidRPr="505EB5E8">
              <w:rPr>
                <w:rFonts w:ascii="Arial" w:hAnsi="Arial" w:eastAsia="Arial" w:cs="Arial"/>
              </w:rPr>
              <w:t>(Xi-</w:t>
            </w:r>
            <w:proofErr w:type="gramStart"/>
            <w:r w:rsidRPr="505EB5E8">
              <w:rPr>
                <w:rFonts w:ascii="Arial" w:hAnsi="Arial" w:eastAsia="Arial" w:cs="Arial"/>
              </w:rPr>
              <w:t>X)^</w:t>
            </w:r>
            <w:proofErr w:type="gramEnd"/>
            <w:r w:rsidRPr="505EB5E8">
              <w:rPr>
                <w:rFonts w:ascii="Arial" w:hAnsi="Arial" w:eastAsia="Arial" w:cs="Arial"/>
              </w:rPr>
              <w:t>2</w:t>
            </w:r>
          </w:p>
        </w:tc>
        <w:tc>
          <w:tcPr>
            <w:tcW w:w="510" w:type="dxa"/>
          </w:tcPr>
          <w:p w:rsidR="43394009" w:rsidP="76832B23" w:rsidRDefault="43394009" w14:paraId="2F826BB5" w14:textId="61B04901">
            <w:pPr>
              <w:rPr>
                <w:rFonts w:ascii="Arial" w:hAnsi="Arial" w:eastAsia="Arial" w:cs="Arial"/>
              </w:rPr>
            </w:pPr>
            <w:r w:rsidRPr="505EB5E8">
              <w:rPr>
                <w:rFonts w:ascii="Arial" w:hAnsi="Arial" w:eastAsia="Arial" w:cs="Arial"/>
              </w:rPr>
              <w:t>n</w:t>
            </w:r>
          </w:p>
        </w:tc>
      </w:tr>
      <w:tr w:rsidR="76832B23" w:rsidTr="505EB5E8" w14:paraId="7DDEADA5" w14:textId="77777777">
        <w:tc>
          <w:tcPr>
            <w:tcW w:w="2254" w:type="dxa"/>
          </w:tcPr>
          <w:p w:rsidR="43394009" w:rsidP="76832B23" w:rsidRDefault="43394009" w14:paraId="6D26B46E" w14:textId="4E65AD21">
            <w:pPr>
              <w:rPr>
                <w:rFonts w:ascii="Arial" w:hAnsi="Arial" w:eastAsia="Arial" w:cs="Arial"/>
              </w:rPr>
            </w:pPr>
            <w:r w:rsidRPr="505EB5E8">
              <w:rPr>
                <w:rFonts w:ascii="Arial" w:hAnsi="Arial" w:eastAsia="Arial" w:cs="Arial"/>
              </w:rPr>
              <w:t>6.87%</w:t>
            </w:r>
          </w:p>
        </w:tc>
        <w:tc>
          <w:tcPr>
            <w:tcW w:w="2254" w:type="dxa"/>
          </w:tcPr>
          <w:p w:rsidR="43394009" w:rsidP="76832B23" w:rsidRDefault="43394009" w14:paraId="1AC5232A" w14:textId="3964C8E6">
            <w:pPr>
              <w:rPr>
                <w:rFonts w:ascii="Arial" w:hAnsi="Arial" w:eastAsia="Arial" w:cs="Arial"/>
              </w:rPr>
            </w:pPr>
            <w:r w:rsidRPr="505EB5E8">
              <w:rPr>
                <w:rFonts w:ascii="Arial" w:hAnsi="Arial" w:eastAsia="Arial" w:cs="Arial"/>
              </w:rPr>
              <w:t>-.34</w:t>
            </w:r>
          </w:p>
        </w:tc>
        <w:tc>
          <w:tcPr>
            <w:tcW w:w="2254" w:type="dxa"/>
          </w:tcPr>
          <w:p w:rsidR="43394009" w:rsidP="76832B23" w:rsidRDefault="43394009" w14:paraId="0F38E6D8" w14:textId="24D29227">
            <w:pPr>
              <w:rPr>
                <w:rFonts w:ascii="Arial" w:hAnsi="Arial" w:eastAsia="Arial" w:cs="Arial"/>
              </w:rPr>
            </w:pPr>
            <w:r w:rsidRPr="505EB5E8">
              <w:rPr>
                <w:rFonts w:ascii="Arial" w:hAnsi="Arial" w:eastAsia="Arial" w:cs="Arial"/>
              </w:rPr>
              <w:t>0.1156</w:t>
            </w:r>
          </w:p>
        </w:tc>
        <w:tc>
          <w:tcPr>
            <w:tcW w:w="510" w:type="dxa"/>
          </w:tcPr>
          <w:p w:rsidR="43394009" w:rsidP="76832B23" w:rsidRDefault="43394009" w14:paraId="6C68DD9B" w14:textId="0CFC5CF7">
            <w:pPr>
              <w:rPr>
                <w:rFonts w:ascii="Arial" w:hAnsi="Arial" w:eastAsia="Arial" w:cs="Arial"/>
              </w:rPr>
            </w:pPr>
            <w:r w:rsidRPr="505EB5E8">
              <w:rPr>
                <w:rFonts w:ascii="Arial" w:hAnsi="Arial" w:eastAsia="Arial" w:cs="Arial"/>
              </w:rPr>
              <w:t>1</w:t>
            </w:r>
          </w:p>
        </w:tc>
      </w:tr>
      <w:tr w:rsidR="76832B23" w:rsidTr="505EB5E8" w14:paraId="19126F7E" w14:textId="77777777">
        <w:tc>
          <w:tcPr>
            <w:tcW w:w="2254" w:type="dxa"/>
          </w:tcPr>
          <w:p w:rsidR="43394009" w:rsidP="76832B23" w:rsidRDefault="43394009" w14:paraId="70B4087E" w14:textId="2C794344">
            <w:pPr>
              <w:rPr>
                <w:rFonts w:ascii="Arial" w:hAnsi="Arial" w:eastAsia="Arial" w:cs="Arial"/>
              </w:rPr>
            </w:pPr>
            <w:r w:rsidRPr="505EB5E8">
              <w:rPr>
                <w:rFonts w:ascii="Arial" w:hAnsi="Arial" w:eastAsia="Arial" w:cs="Arial"/>
              </w:rPr>
              <w:t>7.25%</w:t>
            </w:r>
          </w:p>
        </w:tc>
        <w:tc>
          <w:tcPr>
            <w:tcW w:w="2254" w:type="dxa"/>
          </w:tcPr>
          <w:p w:rsidR="43394009" w:rsidP="76832B23" w:rsidRDefault="43394009" w14:paraId="32F73D83" w14:textId="25E8693A">
            <w:pPr>
              <w:rPr>
                <w:rFonts w:ascii="Arial" w:hAnsi="Arial" w:eastAsia="Arial" w:cs="Arial"/>
              </w:rPr>
            </w:pPr>
            <w:r w:rsidRPr="505EB5E8">
              <w:rPr>
                <w:rFonts w:ascii="Arial" w:hAnsi="Arial" w:eastAsia="Arial" w:cs="Arial"/>
              </w:rPr>
              <w:t>.04</w:t>
            </w:r>
          </w:p>
        </w:tc>
        <w:tc>
          <w:tcPr>
            <w:tcW w:w="2254" w:type="dxa"/>
          </w:tcPr>
          <w:p w:rsidR="43394009" w:rsidP="76832B23" w:rsidRDefault="43394009" w14:paraId="0302C3F3" w14:textId="022B7EAC">
            <w:pPr>
              <w:rPr>
                <w:rFonts w:ascii="Arial" w:hAnsi="Arial" w:eastAsia="Arial" w:cs="Arial"/>
              </w:rPr>
            </w:pPr>
            <w:r w:rsidRPr="505EB5E8">
              <w:rPr>
                <w:rFonts w:ascii="Arial" w:hAnsi="Arial" w:eastAsia="Arial" w:cs="Arial"/>
              </w:rPr>
              <w:t>.16</w:t>
            </w:r>
          </w:p>
        </w:tc>
        <w:tc>
          <w:tcPr>
            <w:tcW w:w="510" w:type="dxa"/>
          </w:tcPr>
          <w:p w:rsidR="43394009" w:rsidP="76832B23" w:rsidRDefault="43394009" w14:paraId="0E874EBC" w14:textId="57F5B748">
            <w:pPr>
              <w:rPr>
                <w:rFonts w:ascii="Arial" w:hAnsi="Arial" w:eastAsia="Arial" w:cs="Arial"/>
              </w:rPr>
            </w:pPr>
            <w:r w:rsidRPr="505EB5E8">
              <w:rPr>
                <w:rFonts w:ascii="Arial" w:hAnsi="Arial" w:eastAsia="Arial" w:cs="Arial"/>
              </w:rPr>
              <w:t>2</w:t>
            </w:r>
          </w:p>
        </w:tc>
      </w:tr>
      <w:tr w:rsidR="76832B23" w:rsidTr="505EB5E8" w14:paraId="6CD8D422" w14:textId="77777777">
        <w:tc>
          <w:tcPr>
            <w:tcW w:w="2254" w:type="dxa"/>
          </w:tcPr>
          <w:p w:rsidR="43394009" w:rsidP="76832B23" w:rsidRDefault="43394009" w14:paraId="27C5459E" w14:textId="5D9A72E1">
            <w:pPr>
              <w:rPr>
                <w:rFonts w:ascii="Arial" w:hAnsi="Arial" w:eastAsia="Arial" w:cs="Arial"/>
              </w:rPr>
            </w:pPr>
            <w:r w:rsidRPr="505EB5E8">
              <w:rPr>
                <w:rFonts w:ascii="Arial" w:hAnsi="Arial" w:eastAsia="Arial" w:cs="Arial"/>
              </w:rPr>
              <w:t>7.21%</w:t>
            </w:r>
          </w:p>
        </w:tc>
        <w:tc>
          <w:tcPr>
            <w:tcW w:w="2254" w:type="dxa"/>
          </w:tcPr>
          <w:p w:rsidR="43394009" w:rsidP="76832B23" w:rsidRDefault="43394009" w14:paraId="5A6C4769" w14:textId="6804F299">
            <w:pPr>
              <w:rPr>
                <w:rFonts w:ascii="Arial" w:hAnsi="Arial" w:eastAsia="Arial" w:cs="Arial"/>
              </w:rPr>
            </w:pPr>
            <w:r w:rsidRPr="505EB5E8">
              <w:rPr>
                <w:rFonts w:ascii="Arial" w:hAnsi="Arial" w:eastAsia="Arial" w:cs="Arial"/>
              </w:rPr>
              <w:t>0</w:t>
            </w:r>
          </w:p>
        </w:tc>
        <w:tc>
          <w:tcPr>
            <w:tcW w:w="2254" w:type="dxa"/>
          </w:tcPr>
          <w:p w:rsidR="43394009" w:rsidP="76832B23" w:rsidRDefault="43394009" w14:paraId="43D4BDAF" w14:textId="3ACAA04F">
            <w:pPr>
              <w:rPr>
                <w:rFonts w:ascii="Arial" w:hAnsi="Arial" w:eastAsia="Arial" w:cs="Arial"/>
              </w:rPr>
            </w:pPr>
            <w:r w:rsidRPr="505EB5E8">
              <w:rPr>
                <w:rFonts w:ascii="Arial" w:hAnsi="Arial" w:eastAsia="Arial" w:cs="Arial"/>
              </w:rPr>
              <w:t>0</w:t>
            </w:r>
          </w:p>
        </w:tc>
        <w:tc>
          <w:tcPr>
            <w:tcW w:w="510" w:type="dxa"/>
          </w:tcPr>
          <w:p w:rsidR="43394009" w:rsidP="76832B23" w:rsidRDefault="43394009" w14:paraId="35616432" w14:textId="0B4C6F47">
            <w:pPr>
              <w:rPr>
                <w:rFonts w:ascii="Arial" w:hAnsi="Arial" w:eastAsia="Arial" w:cs="Arial"/>
              </w:rPr>
            </w:pPr>
            <w:r w:rsidRPr="505EB5E8">
              <w:rPr>
                <w:rFonts w:ascii="Arial" w:hAnsi="Arial" w:eastAsia="Arial" w:cs="Arial"/>
              </w:rPr>
              <w:t>3</w:t>
            </w:r>
          </w:p>
        </w:tc>
      </w:tr>
      <w:tr w:rsidR="76832B23" w:rsidTr="505EB5E8" w14:paraId="4FE99BA2" w14:textId="77777777">
        <w:tc>
          <w:tcPr>
            <w:tcW w:w="2254" w:type="dxa"/>
          </w:tcPr>
          <w:p w:rsidR="43394009" w:rsidP="76832B23" w:rsidRDefault="43394009" w14:paraId="5F2E58F1" w14:textId="49EBDF32">
            <w:pPr>
              <w:rPr>
                <w:rFonts w:ascii="Arial" w:hAnsi="Arial" w:eastAsia="Arial" w:cs="Arial"/>
              </w:rPr>
            </w:pPr>
            <w:r w:rsidRPr="505EB5E8">
              <w:rPr>
                <w:rFonts w:ascii="Arial" w:hAnsi="Arial" w:eastAsia="Arial" w:cs="Arial"/>
              </w:rPr>
              <w:t>7.55%</w:t>
            </w:r>
          </w:p>
        </w:tc>
        <w:tc>
          <w:tcPr>
            <w:tcW w:w="2254" w:type="dxa"/>
          </w:tcPr>
          <w:p w:rsidR="43394009" w:rsidP="76832B23" w:rsidRDefault="43394009" w14:paraId="6B443F20" w14:textId="410F2F6F">
            <w:pPr>
              <w:rPr>
                <w:rFonts w:ascii="Arial" w:hAnsi="Arial" w:eastAsia="Arial" w:cs="Arial"/>
              </w:rPr>
            </w:pPr>
            <w:r w:rsidRPr="505EB5E8">
              <w:rPr>
                <w:rFonts w:ascii="Arial" w:hAnsi="Arial" w:eastAsia="Arial" w:cs="Arial"/>
              </w:rPr>
              <w:t>.34</w:t>
            </w:r>
          </w:p>
        </w:tc>
        <w:tc>
          <w:tcPr>
            <w:tcW w:w="2254" w:type="dxa"/>
          </w:tcPr>
          <w:p w:rsidR="43394009" w:rsidP="76832B23" w:rsidRDefault="43394009" w14:paraId="60324CB4" w14:textId="25025AA8">
            <w:pPr>
              <w:rPr>
                <w:rFonts w:ascii="Arial" w:hAnsi="Arial" w:eastAsia="Arial" w:cs="Arial"/>
              </w:rPr>
            </w:pPr>
            <w:r w:rsidRPr="505EB5E8">
              <w:rPr>
                <w:rFonts w:ascii="Arial" w:hAnsi="Arial" w:eastAsia="Arial" w:cs="Arial"/>
              </w:rPr>
              <w:t>.1156</w:t>
            </w:r>
          </w:p>
        </w:tc>
        <w:tc>
          <w:tcPr>
            <w:tcW w:w="510" w:type="dxa"/>
          </w:tcPr>
          <w:p w:rsidR="43394009" w:rsidP="76832B23" w:rsidRDefault="43394009" w14:paraId="4F3C9552" w14:textId="083A246F">
            <w:pPr>
              <w:rPr>
                <w:rFonts w:ascii="Arial" w:hAnsi="Arial" w:eastAsia="Arial" w:cs="Arial"/>
              </w:rPr>
            </w:pPr>
            <w:r w:rsidRPr="505EB5E8">
              <w:rPr>
                <w:rFonts w:ascii="Arial" w:hAnsi="Arial" w:eastAsia="Arial" w:cs="Arial"/>
              </w:rPr>
              <w:t>4</w:t>
            </w:r>
          </w:p>
        </w:tc>
      </w:tr>
      <w:tr w:rsidR="76832B23" w:rsidTr="505EB5E8" w14:paraId="10B5D84F" w14:textId="77777777">
        <w:tc>
          <w:tcPr>
            <w:tcW w:w="2254" w:type="dxa"/>
          </w:tcPr>
          <w:p w:rsidR="43394009" w:rsidP="76832B23" w:rsidRDefault="43394009" w14:paraId="02A8A652" w14:textId="1EE1D4C0">
            <w:pPr>
              <w:rPr>
                <w:rFonts w:ascii="Arial" w:hAnsi="Arial" w:eastAsia="Arial" w:cs="Arial"/>
              </w:rPr>
            </w:pPr>
            <w:r w:rsidRPr="505EB5E8">
              <w:rPr>
                <w:rFonts w:ascii="Arial" w:hAnsi="Arial" w:eastAsia="Arial" w:cs="Arial"/>
              </w:rPr>
              <w:t>8.40%</w:t>
            </w:r>
          </w:p>
        </w:tc>
        <w:tc>
          <w:tcPr>
            <w:tcW w:w="2254" w:type="dxa"/>
          </w:tcPr>
          <w:p w:rsidR="43394009" w:rsidP="76832B23" w:rsidRDefault="43394009" w14:paraId="4A99A264" w14:textId="34C58A13">
            <w:pPr>
              <w:rPr>
                <w:rFonts w:ascii="Arial" w:hAnsi="Arial" w:eastAsia="Arial" w:cs="Arial"/>
              </w:rPr>
            </w:pPr>
            <w:r w:rsidRPr="505EB5E8">
              <w:rPr>
                <w:rFonts w:ascii="Arial" w:hAnsi="Arial" w:eastAsia="Arial" w:cs="Arial"/>
              </w:rPr>
              <w:t>1.19</w:t>
            </w:r>
          </w:p>
        </w:tc>
        <w:tc>
          <w:tcPr>
            <w:tcW w:w="2254" w:type="dxa"/>
          </w:tcPr>
          <w:p w:rsidR="43394009" w:rsidP="76832B23" w:rsidRDefault="43394009" w14:paraId="21014918" w14:textId="2840D14E">
            <w:pPr>
              <w:rPr>
                <w:rFonts w:ascii="Arial" w:hAnsi="Arial" w:eastAsia="Arial" w:cs="Arial"/>
              </w:rPr>
            </w:pPr>
            <w:r w:rsidRPr="505EB5E8">
              <w:rPr>
                <w:rFonts w:ascii="Arial" w:hAnsi="Arial" w:eastAsia="Arial" w:cs="Arial"/>
              </w:rPr>
              <w:t>1.4161</w:t>
            </w:r>
          </w:p>
        </w:tc>
        <w:tc>
          <w:tcPr>
            <w:tcW w:w="510" w:type="dxa"/>
          </w:tcPr>
          <w:p w:rsidR="43394009" w:rsidP="76832B23" w:rsidRDefault="43394009" w14:paraId="28BD2857" w14:textId="5772A0FC">
            <w:pPr>
              <w:rPr>
                <w:rFonts w:ascii="Arial" w:hAnsi="Arial" w:eastAsia="Arial" w:cs="Arial"/>
              </w:rPr>
            </w:pPr>
            <w:r w:rsidRPr="505EB5E8">
              <w:rPr>
                <w:rFonts w:ascii="Arial" w:hAnsi="Arial" w:eastAsia="Arial" w:cs="Arial"/>
              </w:rPr>
              <w:t>5</w:t>
            </w:r>
          </w:p>
        </w:tc>
      </w:tr>
      <w:tr w:rsidR="76832B23" w:rsidTr="505EB5E8" w14:paraId="1CD19F32" w14:textId="77777777">
        <w:tc>
          <w:tcPr>
            <w:tcW w:w="2254" w:type="dxa"/>
          </w:tcPr>
          <w:p w:rsidR="43394009" w:rsidP="76832B23" w:rsidRDefault="43394009" w14:paraId="0C7A2762" w14:textId="0F25759B">
            <w:pPr>
              <w:rPr>
                <w:rFonts w:ascii="Arial" w:hAnsi="Arial" w:eastAsia="Arial" w:cs="Arial"/>
              </w:rPr>
            </w:pPr>
            <w:r w:rsidRPr="505EB5E8">
              <w:rPr>
                <w:rFonts w:ascii="Arial" w:hAnsi="Arial" w:eastAsia="Arial" w:cs="Arial"/>
              </w:rPr>
              <w:t>10.96%</w:t>
            </w:r>
          </w:p>
        </w:tc>
        <w:tc>
          <w:tcPr>
            <w:tcW w:w="2254" w:type="dxa"/>
          </w:tcPr>
          <w:p w:rsidR="43394009" w:rsidP="76832B23" w:rsidRDefault="43394009" w14:paraId="05AABB21" w14:textId="7C468A98">
            <w:pPr>
              <w:rPr>
                <w:rFonts w:ascii="Arial" w:hAnsi="Arial" w:eastAsia="Arial" w:cs="Arial"/>
              </w:rPr>
            </w:pPr>
            <w:r w:rsidRPr="505EB5E8">
              <w:rPr>
                <w:rFonts w:ascii="Arial" w:hAnsi="Arial" w:eastAsia="Arial" w:cs="Arial"/>
              </w:rPr>
              <w:t>3.75</w:t>
            </w:r>
          </w:p>
        </w:tc>
        <w:tc>
          <w:tcPr>
            <w:tcW w:w="2254" w:type="dxa"/>
          </w:tcPr>
          <w:p w:rsidR="43394009" w:rsidP="76832B23" w:rsidRDefault="43394009" w14:paraId="3B303270" w14:textId="64F43474">
            <w:pPr>
              <w:rPr>
                <w:rFonts w:ascii="Arial" w:hAnsi="Arial" w:eastAsia="Arial" w:cs="Arial"/>
              </w:rPr>
            </w:pPr>
            <w:r w:rsidRPr="505EB5E8">
              <w:rPr>
                <w:rFonts w:ascii="Arial" w:hAnsi="Arial" w:eastAsia="Arial" w:cs="Arial"/>
              </w:rPr>
              <w:t>14.0625</w:t>
            </w:r>
          </w:p>
        </w:tc>
        <w:tc>
          <w:tcPr>
            <w:tcW w:w="510" w:type="dxa"/>
          </w:tcPr>
          <w:p w:rsidR="43394009" w:rsidP="76832B23" w:rsidRDefault="43394009" w14:paraId="25F65B5A" w14:textId="23C87EB4">
            <w:pPr>
              <w:rPr>
                <w:rFonts w:ascii="Arial" w:hAnsi="Arial" w:eastAsia="Arial" w:cs="Arial"/>
              </w:rPr>
            </w:pPr>
            <w:r w:rsidRPr="505EB5E8">
              <w:rPr>
                <w:rFonts w:ascii="Arial" w:hAnsi="Arial" w:eastAsia="Arial" w:cs="Arial"/>
              </w:rPr>
              <w:t>6</w:t>
            </w:r>
          </w:p>
        </w:tc>
      </w:tr>
    </w:tbl>
    <w:p w:rsidR="47BBD9C6" w:rsidP="76832B23" w:rsidRDefault="43394009" w14:paraId="7AB2DAD8" w14:textId="03D96AA5">
      <w:pPr>
        <w:jc w:val="both"/>
        <w:rPr>
          <w:rFonts w:ascii="Arial" w:hAnsi="Arial" w:cs="Arial" w:eastAsiaTheme="minorEastAsia"/>
        </w:rPr>
      </w:pPr>
      <w:r w:rsidRPr="76832B23">
        <w:rPr>
          <w:rFonts w:ascii="Arial" w:hAnsi="Arial" w:cs="Arial" w:eastAsiaTheme="minorEastAsia"/>
        </w:rPr>
        <w:t>Summation Xi-X^2= 15.8698</w:t>
      </w:r>
    </w:p>
    <w:p w:rsidR="7C71BA00" w:rsidP="76832B23" w:rsidRDefault="7C71BA00" w14:paraId="31CADEF8" w14:textId="1A8DDCE5">
      <w:pPr>
        <w:jc w:val="both"/>
        <w:rPr>
          <w:rFonts w:ascii="Arial" w:hAnsi="Arial" w:cs="Arial" w:eastAsiaTheme="minorEastAsia"/>
        </w:rPr>
      </w:pPr>
      <w:r w:rsidRPr="505EB5E8">
        <w:rPr>
          <w:rFonts w:ascii="Arial" w:hAnsi="Arial" w:cs="Arial" w:eastAsiaTheme="minorEastAsia"/>
        </w:rPr>
        <w:t>(Xi-</w:t>
      </w:r>
      <w:proofErr w:type="gramStart"/>
      <w:r w:rsidRPr="505EB5E8">
        <w:rPr>
          <w:rFonts w:ascii="Arial" w:hAnsi="Arial" w:cs="Arial" w:eastAsiaTheme="minorEastAsia"/>
        </w:rPr>
        <w:t>X)^</w:t>
      </w:r>
      <w:proofErr w:type="gramEnd"/>
      <w:r w:rsidRPr="505EB5E8">
        <w:rPr>
          <w:rFonts w:ascii="Arial" w:hAnsi="Arial" w:cs="Arial" w:eastAsiaTheme="minorEastAsia"/>
        </w:rPr>
        <w:t>2/n= 2.644 (variance)</w:t>
      </w:r>
    </w:p>
    <w:p w:rsidR="7C71BA00" w:rsidP="76832B23" w:rsidRDefault="7C71BA00" w14:paraId="1D060905" w14:textId="21ECBFB6">
      <w:pPr>
        <w:jc w:val="both"/>
        <w:rPr>
          <w:rFonts w:ascii="Arial" w:hAnsi="Arial" w:cs="Arial" w:eastAsiaTheme="minorEastAsia"/>
        </w:rPr>
      </w:pPr>
      <w:r w:rsidRPr="505EB5E8">
        <w:rPr>
          <w:rFonts w:ascii="Arial" w:hAnsi="Arial" w:cs="Arial" w:eastAsiaTheme="minorEastAsia"/>
        </w:rPr>
        <w:t>Std deviation= 1.62633</w:t>
      </w:r>
    </w:p>
    <w:sectPr w:rsidR="7C71BA0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nitials="(NE" w:author="(pg) Nicholas Efrem" w:date="2020-12-13T07:13:00Z" w:id="0">
    <w:p w:rsidR="00F9059F" w:rsidRDefault="00F9059F" w14:paraId="03D2FEBE" w14:textId="07DF5FF5">
      <w:pPr>
        <w:pStyle w:val="CommentText"/>
      </w:pPr>
      <w:r>
        <w:rPr>
          <w:rStyle w:val="CommentReference"/>
        </w:rPr>
        <w:annotationRef/>
      </w:r>
      <w:r>
        <w:t xml:space="preserve">I think a lot of </w:t>
      </w:r>
      <w:r w:rsidR="0072034C">
        <w:t>what is</w:t>
      </w:r>
      <w:r>
        <w:t xml:space="preserve"> written in this section is best suited for the sensitivity analysis. Let me know what you think, coz that would also reduce the word count.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3D2FEB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803D7C" w16cex:dateUtc="2020-12-13T07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3D2FEBE" w16cid:durableId="23803D7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A5DDE" w:rsidRDefault="00BA5DDE" w14:paraId="2D199C04" w14:textId="77777777">
      <w:pPr>
        <w:spacing w:after="0" w:line="240" w:lineRule="auto"/>
      </w:pPr>
      <w:r>
        <w:separator/>
      </w:r>
    </w:p>
  </w:endnote>
  <w:endnote w:type="continuationSeparator" w:id="0">
    <w:p w:rsidR="00BA5DDE" w:rsidRDefault="00BA5DDE" w14:paraId="2373F07F" w14:textId="77777777">
      <w:pPr>
        <w:spacing w:after="0" w:line="240" w:lineRule="auto"/>
      </w:pPr>
      <w:r>
        <w:continuationSeparator/>
      </w:r>
    </w:p>
  </w:endnote>
  <w:endnote w:type="continuationNotice" w:id="1">
    <w:p w:rsidR="00BA5DDE" w:rsidRDefault="00BA5DDE" w14:paraId="2E47E24C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A5DDE" w:rsidRDefault="00BA5DDE" w14:paraId="5FD880FF" w14:textId="77777777">
      <w:pPr>
        <w:spacing w:after="0" w:line="240" w:lineRule="auto"/>
      </w:pPr>
      <w:r>
        <w:separator/>
      </w:r>
    </w:p>
  </w:footnote>
  <w:footnote w:type="continuationSeparator" w:id="0">
    <w:p w:rsidR="00BA5DDE" w:rsidRDefault="00BA5DDE" w14:paraId="2A90B296" w14:textId="77777777">
      <w:pPr>
        <w:spacing w:after="0" w:line="240" w:lineRule="auto"/>
      </w:pPr>
      <w:r>
        <w:continuationSeparator/>
      </w:r>
    </w:p>
  </w:footnote>
  <w:footnote w:type="continuationNotice" w:id="1">
    <w:p w:rsidR="00BA5DDE" w:rsidRDefault="00BA5DDE" w14:paraId="3FCF12AF" w14:textId="77777777">
      <w:pPr>
        <w:spacing w:after="0" w:line="240" w:lineRule="auto"/>
      </w:pPr>
    </w:p>
  </w:footnote>
  <w:footnote w:id="2">
    <w:p w:rsidR="1F157C5F" w:rsidP="1F157C5F" w:rsidRDefault="1F157C5F" w14:paraId="6C923A7E" w14:textId="6D5FC892">
      <w:pPr>
        <w:pStyle w:val="FootnoteText"/>
      </w:pPr>
      <w:r w:rsidRPr="1F157C5F">
        <w:rPr>
          <w:rStyle w:val="FootnoteReference"/>
        </w:rPr>
        <w:footnoteRef/>
      </w:r>
      <w:r>
        <w:t xml:space="preserve"> The current equity premium for this financial quarter was found and calculated by KPMG and accounts for current volatile fluctuations in the market due to the economic impact of covid-19 as well as </w:t>
      </w:r>
      <w:proofErr w:type="spellStart"/>
      <w:r>
        <w:t>brexit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3B21D0"/>
    <w:multiLevelType w:val="hybridMultilevel"/>
    <w:tmpl w:val="C86442E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7612AC5"/>
    <w:multiLevelType w:val="hybridMultilevel"/>
    <w:tmpl w:val="F8D6B3F2"/>
    <w:lvl w:ilvl="0" w:tplc="CF662FA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6AE561A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A54247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D485E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64A3B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01093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DE8F4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D26C1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076C3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(pg) Nicholas Efrem">
    <w15:presenceInfo w15:providerId="AD" w15:userId="S::cgne@lunet.lboro.ac.uk::caeb28e1-64c7-4cb5-92b0-d2fdeab7a9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9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53"/>
    <w:rsid w:val="00007182"/>
    <w:rsid w:val="000110AD"/>
    <w:rsid w:val="000116BC"/>
    <w:rsid w:val="00021B66"/>
    <w:rsid w:val="00036774"/>
    <w:rsid w:val="00045677"/>
    <w:rsid w:val="0005371B"/>
    <w:rsid w:val="00065FE0"/>
    <w:rsid w:val="00071C62"/>
    <w:rsid w:val="000754DE"/>
    <w:rsid w:val="000B720E"/>
    <w:rsid w:val="000C6A15"/>
    <w:rsid w:val="000C74F8"/>
    <w:rsid w:val="000D7849"/>
    <w:rsid w:val="000E2C2A"/>
    <w:rsid w:val="000E4005"/>
    <w:rsid w:val="000E467D"/>
    <w:rsid w:val="000E4AA3"/>
    <w:rsid w:val="000E795D"/>
    <w:rsid w:val="000E7E03"/>
    <w:rsid w:val="00105B53"/>
    <w:rsid w:val="0012411D"/>
    <w:rsid w:val="0013281C"/>
    <w:rsid w:val="00146E42"/>
    <w:rsid w:val="00154BFB"/>
    <w:rsid w:val="0015502A"/>
    <w:rsid w:val="001563E7"/>
    <w:rsid w:val="00156887"/>
    <w:rsid w:val="00162A3C"/>
    <w:rsid w:val="00171EA5"/>
    <w:rsid w:val="00182B4D"/>
    <w:rsid w:val="00184A86"/>
    <w:rsid w:val="00195791"/>
    <w:rsid w:val="00196071"/>
    <w:rsid w:val="001A2532"/>
    <w:rsid w:val="001E3986"/>
    <w:rsid w:val="001E4795"/>
    <w:rsid w:val="001E5743"/>
    <w:rsid w:val="001F2BC9"/>
    <w:rsid w:val="0020049C"/>
    <w:rsid w:val="00205D3F"/>
    <w:rsid w:val="00206391"/>
    <w:rsid w:val="00206B64"/>
    <w:rsid w:val="00214245"/>
    <w:rsid w:val="00214A24"/>
    <w:rsid w:val="00221C86"/>
    <w:rsid w:val="00250005"/>
    <w:rsid w:val="00262402"/>
    <w:rsid w:val="00275116"/>
    <w:rsid w:val="0028137F"/>
    <w:rsid w:val="0028173F"/>
    <w:rsid w:val="0028234B"/>
    <w:rsid w:val="00294052"/>
    <w:rsid w:val="0029779F"/>
    <w:rsid w:val="002A3AD4"/>
    <w:rsid w:val="002A45E8"/>
    <w:rsid w:val="002C47EB"/>
    <w:rsid w:val="002C6D8E"/>
    <w:rsid w:val="002E3C09"/>
    <w:rsid w:val="002F27FE"/>
    <w:rsid w:val="002F3123"/>
    <w:rsid w:val="002F572C"/>
    <w:rsid w:val="00305BD0"/>
    <w:rsid w:val="003243AF"/>
    <w:rsid w:val="0035062A"/>
    <w:rsid w:val="003519FA"/>
    <w:rsid w:val="00353EAC"/>
    <w:rsid w:val="003645B6"/>
    <w:rsid w:val="00371574"/>
    <w:rsid w:val="00383397"/>
    <w:rsid w:val="003848AF"/>
    <w:rsid w:val="0039062A"/>
    <w:rsid w:val="003C02D0"/>
    <w:rsid w:val="003C3385"/>
    <w:rsid w:val="003E7677"/>
    <w:rsid w:val="003F0F79"/>
    <w:rsid w:val="003F6130"/>
    <w:rsid w:val="003F76F7"/>
    <w:rsid w:val="004071D3"/>
    <w:rsid w:val="00412154"/>
    <w:rsid w:val="00414C13"/>
    <w:rsid w:val="0044133C"/>
    <w:rsid w:val="0044665E"/>
    <w:rsid w:val="004514B7"/>
    <w:rsid w:val="00457760"/>
    <w:rsid w:val="00471B5E"/>
    <w:rsid w:val="004762F5"/>
    <w:rsid w:val="004846AE"/>
    <w:rsid w:val="004D0BE5"/>
    <w:rsid w:val="004D2691"/>
    <w:rsid w:val="004E07F1"/>
    <w:rsid w:val="004F5526"/>
    <w:rsid w:val="00520D25"/>
    <w:rsid w:val="005236C6"/>
    <w:rsid w:val="005310A5"/>
    <w:rsid w:val="00571CA0"/>
    <w:rsid w:val="005879EB"/>
    <w:rsid w:val="005A579C"/>
    <w:rsid w:val="005A6634"/>
    <w:rsid w:val="005B53D8"/>
    <w:rsid w:val="005B6A1A"/>
    <w:rsid w:val="005C32D1"/>
    <w:rsid w:val="005C5BF5"/>
    <w:rsid w:val="005D03F2"/>
    <w:rsid w:val="005E396C"/>
    <w:rsid w:val="005E4F9B"/>
    <w:rsid w:val="005E6828"/>
    <w:rsid w:val="005F032D"/>
    <w:rsid w:val="005F3E8B"/>
    <w:rsid w:val="00611F9E"/>
    <w:rsid w:val="00616C9C"/>
    <w:rsid w:val="006328ED"/>
    <w:rsid w:val="00632E21"/>
    <w:rsid w:val="00652F46"/>
    <w:rsid w:val="006531A5"/>
    <w:rsid w:val="0065634F"/>
    <w:rsid w:val="00670101"/>
    <w:rsid w:val="0067705C"/>
    <w:rsid w:val="006838A5"/>
    <w:rsid w:val="00686337"/>
    <w:rsid w:val="006A5D06"/>
    <w:rsid w:val="006C6696"/>
    <w:rsid w:val="006E3D47"/>
    <w:rsid w:val="006F5E41"/>
    <w:rsid w:val="00704E06"/>
    <w:rsid w:val="00706505"/>
    <w:rsid w:val="007139F9"/>
    <w:rsid w:val="00714C28"/>
    <w:rsid w:val="00714E33"/>
    <w:rsid w:val="0072034C"/>
    <w:rsid w:val="007223F7"/>
    <w:rsid w:val="007250ED"/>
    <w:rsid w:val="00731984"/>
    <w:rsid w:val="00745212"/>
    <w:rsid w:val="00745DE6"/>
    <w:rsid w:val="00752AF5"/>
    <w:rsid w:val="00752BF3"/>
    <w:rsid w:val="00756FF0"/>
    <w:rsid w:val="00757E5B"/>
    <w:rsid w:val="007669E7"/>
    <w:rsid w:val="0078136E"/>
    <w:rsid w:val="00784895"/>
    <w:rsid w:val="007B57D2"/>
    <w:rsid w:val="007C0FD5"/>
    <w:rsid w:val="007C3BB1"/>
    <w:rsid w:val="007E75CA"/>
    <w:rsid w:val="00813A56"/>
    <w:rsid w:val="00813CB2"/>
    <w:rsid w:val="008239D3"/>
    <w:rsid w:val="00842A25"/>
    <w:rsid w:val="00844C25"/>
    <w:rsid w:val="00872429"/>
    <w:rsid w:val="00875654"/>
    <w:rsid w:val="0087679A"/>
    <w:rsid w:val="00880EA1"/>
    <w:rsid w:val="00893FE3"/>
    <w:rsid w:val="00895B8A"/>
    <w:rsid w:val="008B2925"/>
    <w:rsid w:val="008B5F6F"/>
    <w:rsid w:val="008F03A7"/>
    <w:rsid w:val="00904D74"/>
    <w:rsid w:val="00911A10"/>
    <w:rsid w:val="00915B34"/>
    <w:rsid w:val="00920A4E"/>
    <w:rsid w:val="00931DA9"/>
    <w:rsid w:val="009750A6"/>
    <w:rsid w:val="00985F11"/>
    <w:rsid w:val="00991DF5"/>
    <w:rsid w:val="0099287A"/>
    <w:rsid w:val="00A118DD"/>
    <w:rsid w:val="00A32A72"/>
    <w:rsid w:val="00A334FB"/>
    <w:rsid w:val="00A3444F"/>
    <w:rsid w:val="00A36B18"/>
    <w:rsid w:val="00A405D2"/>
    <w:rsid w:val="00A418AE"/>
    <w:rsid w:val="00A726C0"/>
    <w:rsid w:val="00A8400F"/>
    <w:rsid w:val="00A862BB"/>
    <w:rsid w:val="00A86EF6"/>
    <w:rsid w:val="00AA65ED"/>
    <w:rsid w:val="00AB3949"/>
    <w:rsid w:val="00AB679A"/>
    <w:rsid w:val="00AC7DB9"/>
    <w:rsid w:val="00AD33F2"/>
    <w:rsid w:val="00AE2427"/>
    <w:rsid w:val="00AF0209"/>
    <w:rsid w:val="00B11983"/>
    <w:rsid w:val="00B24D3D"/>
    <w:rsid w:val="00B30106"/>
    <w:rsid w:val="00B308AE"/>
    <w:rsid w:val="00B57376"/>
    <w:rsid w:val="00B655B5"/>
    <w:rsid w:val="00B65682"/>
    <w:rsid w:val="00B718CE"/>
    <w:rsid w:val="00B73DDB"/>
    <w:rsid w:val="00B7551A"/>
    <w:rsid w:val="00B83094"/>
    <w:rsid w:val="00B956A9"/>
    <w:rsid w:val="00BA179C"/>
    <w:rsid w:val="00BA2CC0"/>
    <w:rsid w:val="00BA5D86"/>
    <w:rsid w:val="00BA5DDE"/>
    <w:rsid w:val="00BB714C"/>
    <w:rsid w:val="00BC1F94"/>
    <w:rsid w:val="00BC5FCF"/>
    <w:rsid w:val="00BE3B1D"/>
    <w:rsid w:val="00BF0BAD"/>
    <w:rsid w:val="00BF0E9D"/>
    <w:rsid w:val="00BF322D"/>
    <w:rsid w:val="00C018E5"/>
    <w:rsid w:val="00C01D3C"/>
    <w:rsid w:val="00C26A65"/>
    <w:rsid w:val="00C373CC"/>
    <w:rsid w:val="00C4206D"/>
    <w:rsid w:val="00C54496"/>
    <w:rsid w:val="00C606A3"/>
    <w:rsid w:val="00C750A6"/>
    <w:rsid w:val="00C8561F"/>
    <w:rsid w:val="00CB2063"/>
    <w:rsid w:val="00CD53CE"/>
    <w:rsid w:val="00CD7637"/>
    <w:rsid w:val="00CF2E2A"/>
    <w:rsid w:val="00D21657"/>
    <w:rsid w:val="00D226A9"/>
    <w:rsid w:val="00D42DD8"/>
    <w:rsid w:val="00D46B92"/>
    <w:rsid w:val="00D6312D"/>
    <w:rsid w:val="00D67123"/>
    <w:rsid w:val="00D674F4"/>
    <w:rsid w:val="00D859C7"/>
    <w:rsid w:val="00D902AB"/>
    <w:rsid w:val="00D9201A"/>
    <w:rsid w:val="00DA1EB0"/>
    <w:rsid w:val="00DA3224"/>
    <w:rsid w:val="00DA5A35"/>
    <w:rsid w:val="00DB1CF9"/>
    <w:rsid w:val="00DE441B"/>
    <w:rsid w:val="00DE447F"/>
    <w:rsid w:val="00DF3564"/>
    <w:rsid w:val="00DF53C6"/>
    <w:rsid w:val="00E07BDE"/>
    <w:rsid w:val="00E1422F"/>
    <w:rsid w:val="00E241CD"/>
    <w:rsid w:val="00E27B09"/>
    <w:rsid w:val="00E50768"/>
    <w:rsid w:val="00E53B6F"/>
    <w:rsid w:val="00E57EAF"/>
    <w:rsid w:val="00E654A3"/>
    <w:rsid w:val="00E776E4"/>
    <w:rsid w:val="00E86C73"/>
    <w:rsid w:val="00E9198F"/>
    <w:rsid w:val="00EA20B9"/>
    <w:rsid w:val="00EA49EE"/>
    <w:rsid w:val="00EA7024"/>
    <w:rsid w:val="00EB1AF8"/>
    <w:rsid w:val="00EC481F"/>
    <w:rsid w:val="00EC60AE"/>
    <w:rsid w:val="00ED30A4"/>
    <w:rsid w:val="00ED3F26"/>
    <w:rsid w:val="00F02F2E"/>
    <w:rsid w:val="00F15ABC"/>
    <w:rsid w:val="00F2787F"/>
    <w:rsid w:val="00F3273D"/>
    <w:rsid w:val="00F4226D"/>
    <w:rsid w:val="00F473BA"/>
    <w:rsid w:val="00F55234"/>
    <w:rsid w:val="00F56154"/>
    <w:rsid w:val="00F7183F"/>
    <w:rsid w:val="00F844FA"/>
    <w:rsid w:val="00F8645F"/>
    <w:rsid w:val="00F9059F"/>
    <w:rsid w:val="00FA2E6E"/>
    <w:rsid w:val="00FA2F4A"/>
    <w:rsid w:val="00FA4478"/>
    <w:rsid w:val="00FB2459"/>
    <w:rsid w:val="00FB2988"/>
    <w:rsid w:val="00FB6461"/>
    <w:rsid w:val="00FE2F08"/>
    <w:rsid w:val="025AB578"/>
    <w:rsid w:val="0327977C"/>
    <w:rsid w:val="0441FB54"/>
    <w:rsid w:val="0465E7DA"/>
    <w:rsid w:val="0478BBAE"/>
    <w:rsid w:val="05CF93FF"/>
    <w:rsid w:val="05E2FAD4"/>
    <w:rsid w:val="06353416"/>
    <w:rsid w:val="0750551C"/>
    <w:rsid w:val="079F41BD"/>
    <w:rsid w:val="07D9C28A"/>
    <w:rsid w:val="07E8EB37"/>
    <w:rsid w:val="0805DCD2"/>
    <w:rsid w:val="08204695"/>
    <w:rsid w:val="0952EC98"/>
    <w:rsid w:val="09EC986F"/>
    <w:rsid w:val="0A6ECD81"/>
    <w:rsid w:val="0B16C19E"/>
    <w:rsid w:val="0C3C4481"/>
    <w:rsid w:val="0CFF0FF4"/>
    <w:rsid w:val="0D5984A3"/>
    <w:rsid w:val="0DB36AFF"/>
    <w:rsid w:val="0E73F8A0"/>
    <w:rsid w:val="0E9A3136"/>
    <w:rsid w:val="0EAEF001"/>
    <w:rsid w:val="0F423EA4"/>
    <w:rsid w:val="0FF23998"/>
    <w:rsid w:val="10DCD863"/>
    <w:rsid w:val="11EA7A84"/>
    <w:rsid w:val="123E8A7E"/>
    <w:rsid w:val="125DFB72"/>
    <w:rsid w:val="125F48C7"/>
    <w:rsid w:val="12DE20FB"/>
    <w:rsid w:val="131A97C1"/>
    <w:rsid w:val="13407251"/>
    <w:rsid w:val="13A5DAA8"/>
    <w:rsid w:val="1412F430"/>
    <w:rsid w:val="144A0073"/>
    <w:rsid w:val="15221B46"/>
    <w:rsid w:val="15694FE3"/>
    <w:rsid w:val="1604A45E"/>
    <w:rsid w:val="16E1F57E"/>
    <w:rsid w:val="16F75065"/>
    <w:rsid w:val="16F80966"/>
    <w:rsid w:val="1705FFE6"/>
    <w:rsid w:val="171EFBE9"/>
    <w:rsid w:val="1835F247"/>
    <w:rsid w:val="19F3DFFB"/>
    <w:rsid w:val="1BCC863B"/>
    <w:rsid w:val="1BE3CE0C"/>
    <w:rsid w:val="1BE5B141"/>
    <w:rsid w:val="1D8DB450"/>
    <w:rsid w:val="1F157C5F"/>
    <w:rsid w:val="1FE57D92"/>
    <w:rsid w:val="20488C1C"/>
    <w:rsid w:val="2125E887"/>
    <w:rsid w:val="21404A17"/>
    <w:rsid w:val="21FED7A2"/>
    <w:rsid w:val="225C8B71"/>
    <w:rsid w:val="23AF2246"/>
    <w:rsid w:val="23C3EBF8"/>
    <w:rsid w:val="23E3CD77"/>
    <w:rsid w:val="246811C3"/>
    <w:rsid w:val="24AB4F7B"/>
    <w:rsid w:val="25769315"/>
    <w:rsid w:val="2672C6EE"/>
    <w:rsid w:val="2796B09A"/>
    <w:rsid w:val="291AE8A3"/>
    <w:rsid w:val="297B04BA"/>
    <w:rsid w:val="29F2D033"/>
    <w:rsid w:val="2A906603"/>
    <w:rsid w:val="2C59FB4B"/>
    <w:rsid w:val="2CB2A57C"/>
    <w:rsid w:val="2CFCAB44"/>
    <w:rsid w:val="2D76BFB1"/>
    <w:rsid w:val="2DA3D81A"/>
    <w:rsid w:val="2DBEBF69"/>
    <w:rsid w:val="2E80EFFE"/>
    <w:rsid w:val="2F70467C"/>
    <w:rsid w:val="2F9E57C9"/>
    <w:rsid w:val="312E86F2"/>
    <w:rsid w:val="31558C4D"/>
    <w:rsid w:val="33E2844C"/>
    <w:rsid w:val="36A6831E"/>
    <w:rsid w:val="374C7952"/>
    <w:rsid w:val="378F89B8"/>
    <w:rsid w:val="380C2C99"/>
    <w:rsid w:val="3872063E"/>
    <w:rsid w:val="39453A0F"/>
    <w:rsid w:val="39757F50"/>
    <w:rsid w:val="3A3BB899"/>
    <w:rsid w:val="3B5CF5B8"/>
    <w:rsid w:val="3B93C0FB"/>
    <w:rsid w:val="3C58E115"/>
    <w:rsid w:val="3D62FA21"/>
    <w:rsid w:val="3E1B66C9"/>
    <w:rsid w:val="3EBC1F24"/>
    <w:rsid w:val="3EFFB269"/>
    <w:rsid w:val="3F364346"/>
    <w:rsid w:val="3FB47B93"/>
    <w:rsid w:val="407820C8"/>
    <w:rsid w:val="40B7AA1C"/>
    <w:rsid w:val="40BEEC73"/>
    <w:rsid w:val="41224EC1"/>
    <w:rsid w:val="413CCD02"/>
    <w:rsid w:val="4155FF21"/>
    <w:rsid w:val="419EBD10"/>
    <w:rsid w:val="42432854"/>
    <w:rsid w:val="43394009"/>
    <w:rsid w:val="44CBB4B5"/>
    <w:rsid w:val="44E9DBBB"/>
    <w:rsid w:val="44F06FA1"/>
    <w:rsid w:val="4508CFD0"/>
    <w:rsid w:val="45BFC2C4"/>
    <w:rsid w:val="46F19BF1"/>
    <w:rsid w:val="477AAC0B"/>
    <w:rsid w:val="47BBD9C6"/>
    <w:rsid w:val="47CA3695"/>
    <w:rsid w:val="48192336"/>
    <w:rsid w:val="4847170D"/>
    <w:rsid w:val="48A84232"/>
    <w:rsid w:val="48CCEE26"/>
    <w:rsid w:val="48E4C10B"/>
    <w:rsid w:val="49B05CA9"/>
    <w:rsid w:val="4A68BE87"/>
    <w:rsid w:val="4C048EE8"/>
    <w:rsid w:val="4C912F5A"/>
    <w:rsid w:val="4CF1442A"/>
    <w:rsid w:val="4DD7101A"/>
    <w:rsid w:val="4E297B4F"/>
    <w:rsid w:val="4E997F6D"/>
    <w:rsid w:val="4F72E07B"/>
    <w:rsid w:val="5039F477"/>
    <w:rsid w:val="505EB5E8"/>
    <w:rsid w:val="50D96186"/>
    <w:rsid w:val="50F7D169"/>
    <w:rsid w:val="51006EDB"/>
    <w:rsid w:val="51EC221C"/>
    <w:rsid w:val="524BBF04"/>
    <w:rsid w:val="524C6290"/>
    <w:rsid w:val="536CF090"/>
    <w:rsid w:val="53B68EC3"/>
    <w:rsid w:val="5477DC36"/>
    <w:rsid w:val="5517B8A7"/>
    <w:rsid w:val="56586F3B"/>
    <w:rsid w:val="5672D392"/>
    <w:rsid w:val="585E81E2"/>
    <w:rsid w:val="58F32D44"/>
    <w:rsid w:val="59220B77"/>
    <w:rsid w:val="5A6F6DE2"/>
    <w:rsid w:val="5AF95B21"/>
    <w:rsid w:val="5B6945C4"/>
    <w:rsid w:val="5BC91A95"/>
    <w:rsid w:val="5C098D67"/>
    <w:rsid w:val="5C758079"/>
    <w:rsid w:val="5E32121B"/>
    <w:rsid w:val="607CB2CF"/>
    <w:rsid w:val="607CC738"/>
    <w:rsid w:val="60B68F87"/>
    <w:rsid w:val="61EC3BCB"/>
    <w:rsid w:val="62A04A9D"/>
    <w:rsid w:val="63233051"/>
    <w:rsid w:val="63B71A8E"/>
    <w:rsid w:val="65D9B8CE"/>
    <w:rsid w:val="665D9810"/>
    <w:rsid w:val="66D1ADE3"/>
    <w:rsid w:val="66F41B78"/>
    <w:rsid w:val="68606EBF"/>
    <w:rsid w:val="68865D70"/>
    <w:rsid w:val="68887095"/>
    <w:rsid w:val="68A68404"/>
    <w:rsid w:val="68D098EE"/>
    <w:rsid w:val="69A10A38"/>
    <w:rsid w:val="69C53D75"/>
    <w:rsid w:val="6B274928"/>
    <w:rsid w:val="6C4023F4"/>
    <w:rsid w:val="6C48DF56"/>
    <w:rsid w:val="6CF78E38"/>
    <w:rsid w:val="6EA57FE0"/>
    <w:rsid w:val="6EE612DF"/>
    <w:rsid w:val="6FE42996"/>
    <w:rsid w:val="6FF05537"/>
    <w:rsid w:val="70C64178"/>
    <w:rsid w:val="717041A4"/>
    <w:rsid w:val="724B0B04"/>
    <w:rsid w:val="72D80259"/>
    <w:rsid w:val="73FB343D"/>
    <w:rsid w:val="74EE65FC"/>
    <w:rsid w:val="75775929"/>
    <w:rsid w:val="75B7097C"/>
    <w:rsid w:val="76832B23"/>
    <w:rsid w:val="7696E65C"/>
    <w:rsid w:val="7752D9DD"/>
    <w:rsid w:val="7832B6BD"/>
    <w:rsid w:val="79606C3A"/>
    <w:rsid w:val="7A6728F6"/>
    <w:rsid w:val="7AC22AD1"/>
    <w:rsid w:val="7B3640A4"/>
    <w:rsid w:val="7C71BA00"/>
    <w:rsid w:val="7CBE129C"/>
    <w:rsid w:val="7CC6246C"/>
    <w:rsid w:val="7CEA008E"/>
    <w:rsid w:val="7D298262"/>
    <w:rsid w:val="7DEEAC56"/>
    <w:rsid w:val="7E4CA018"/>
    <w:rsid w:val="7FBFA6AA"/>
    <w:rsid w:val="7FFAE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50E8E"/>
  <w15:chartTrackingRefBased/>
  <w15:docId w15:val="{47AFB194-1078-451F-8F6E-FB27242A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0B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0B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1984"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rsid w:val="00EA20B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EA20B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751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7511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752BF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905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059F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F905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059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905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0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9059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53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F0209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AF0209"/>
  </w:style>
  <w:style w:type="paragraph" w:styleId="Footer">
    <w:name w:val="footer"/>
    <w:basedOn w:val="Normal"/>
    <w:link w:val="FooterChar"/>
    <w:uiPriority w:val="99"/>
    <w:semiHidden/>
    <w:unhideWhenUsed/>
    <w:rsid w:val="00AF0209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AF0209"/>
  </w:style>
  <w:style w:type="character" w:styleId="FootnoteReference">
    <w:name w:val="footnote reference"/>
    <w:basedOn w:val="DefaultParagraphFont"/>
    <w:uiPriority w:val="99"/>
    <w:semiHidden/>
    <w:unhideWhenUsed/>
    <w:rsid w:val="00AF0209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AF0209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F0209"/>
    <w:pPr>
      <w:spacing w:after="0" w:line="240" w:lineRule="auto"/>
    </w:pPr>
    <w:rPr>
      <w:sz w:val="20"/>
      <w:szCs w:val="20"/>
    </w:rPr>
  </w:style>
  <w:style w:type="character" w:styleId="FootnoteTextChar1" w:customStyle="1">
    <w:name w:val="Footnote Text Char1"/>
    <w:basedOn w:val="DefaultParagraphFont"/>
    <w:uiPriority w:val="99"/>
    <w:semiHidden/>
    <w:rsid w:val="00AF020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48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omments" Target="comments.xml" Id="rId8" /><Relationship Type="http://schemas.openxmlformats.org/officeDocument/2006/relationships/hyperlink" Target="https://assets.kpmg/content/dam/kpmg/ch/pdf/cost-of-capital-study-2018.pdf" TargetMode="External" Id="rId18" /><Relationship Type="http://schemas.openxmlformats.org/officeDocument/2006/relationships/styles" Target="styles.xml" Id="rId3" /><Relationship Type="http://schemas.openxmlformats.org/officeDocument/2006/relationships/fontTable" Target="fontTable.xml" Id="rId21" /><Relationship Type="http://schemas.openxmlformats.org/officeDocument/2006/relationships/endnotes" Target="endnotes.xml" Id="rId7" /><Relationship Type="http://schemas.openxmlformats.org/officeDocument/2006/relationships/image" Target="media/image1.png" Id="rId12" /><Relationship Type="http://schemas.openxmlformats.org/officeDocument/2006/relationships/hyperlink" Target="https://www.statista.com/statistics/664833/average-market-risk-premium-united-kingdom/" TargetMode="External" Id="rId17" /><Relationship Type="http://schemas.openxmlformats.org/officeDocument/2006/relationships/numbering" Target="numbering.xml" Id="rId2" /><Relationship Type="http://schemas.openxmlformats.org/officeDocument/2006/relationships/hyperlink" Target="https://assets.kpmg/content/dam/kpmg/nl/pdf/2020/services/equitiy-market-risk-premium-research-summary-march-2020.pdf" TargetMode="External" Id="rId16" /><Relationship Type="http://schemas.openxmlformats.org/officeDocument/2006/relationships/hyperlink" Target="https://www.bankofengland.co.uk/boeapps/database/Bank-Rate.asp" TargetMode="Externa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microsoft.com/office/2018/08/relationships/commentsExtensible" Target="commentsExtensible.xml" Id="rId11" /><Relationship Type="http://schemas.openxmlformats.org/officeDocument/2006/relationships/webSettings" Target="webSettings.xml" Id="rId5" /><Relationship Type="http://schemas.openxmlformats.org/officeDocument/2006/relationships/hyperlink" Target="http://www.market-risk-premia.com/gb.html" TargetMode="External" Id="rId15" /><Relationship Type="http://schemas.openxmlformats.org/officeDocument/2006/relationships/theme" Target="theme/theme1.xml" Id="rId23" /><Relationship Type="http://schemas.microsoft.com/office/2016/09/relationships/commentsIds" Target="commentsIds.xml" Id="rId10" /><Relationship Type="http://schemas.openxmlformats.org/officeDocument/2006/relationships/hyperlink" Target="https://www.which.co.uk/news/2020/11/what-will-the-brexit-trade-deal-and-coronavirus-mean-for-interest-rates/" TargetMode="External" Id="rId19" /><Relationship Type="http://schemas.openxmlformats.org/officeDocument/2006/relationships/settings" Target="settings.xml" Id="rId4" /><Relationship Type="http://schemas.microsoft.com/office/2011/relationships/commentsExtended" Target="commentsExtended.xml" Id="rId9" /><Relationship Type="http://schemas.openxmlformats.org/officeDocument/2006/relationships/chart" Target="charts/chart1.xml" Id="rId14" /><Relationship Type="http://schemas.microsoft.com/office/2011/relationships/people" Target="people.xml" Id="rId22" /><Relationship Type="http://schemas.openxmlformats.org/officeDocument/2006/relationships/glossaryDocument" Target="/word/glossary/document.xml" Id="R4baf1c8bd26c4039" 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lunet-my.sharepoint.com/personal/cgne_lunet_lboro_ac_uk/Documents/MSc/Principles%20of%20Finance/Coursework/Sensitivity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543371103002368"/>
          <c:y val="5.7971014492753624E-2"/>
          <c:w val="0.84436884413838509"/>
          <c:h val="0.83871352894169082"/>
        </c:manualLayout>
      </c:layout>
      <c:lineChart>
        <c:grouping val="standard"/>
        <c:varyColors val="0"/>
        <c:ser>
          <c:idx val="0"/>
          <c:order val="0"/>
          <c:tx>
            <c:v>Rd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Sheet1!$A$5:$A$11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cat>
          <c:val>
            <c:numRef>
              <c:f>Sheet1!$B$5:$B$11</c:f>
              <c:numCache>
                <c:formatCode>0.00%</c:formatCode>
                <c:ptCount val="7"/>
                <c:pt idx="0">
                  <c:v>6.8699999999999997E-2</c:v>
                </c:pt>
                <c:pt idx="1">
                  <c:v>7.2800000000000004E-2</c:v>
                </c:pt>
                <c:pt idx="2">
                  <c:v>7.2099999999999997E-2</c:v>
                </c:pt>
                <c:pt idx="3">
                  <c:v>7.5499999999999998E-2</c:v>
                </c:pt>
                <c:pt idx="4">
                  <c:v>8.4000000000000005E-2</c:v>
                </c:pt>
                <c:pt idx="5">
                  <c:v>0.1096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7F-4923-BF76-5250B3891839}"/>
            </c:ext>
          </c:extLst>
        </c:ser>
        <c:ser>
          <c:idx val="1"/>
          <c:order val="1"/>
          <c:tx>
            <c:v>Re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Sheet1!$A$5:$A$11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cat>
          <c:val>
            <c:numRef>
              <c:f>Sheet1!$C$5:$C$11</c:f>
              <c:numCache>
                <c:formatCode>0.00%</c:formatCode>
                <c:ptCount val="7"/>
                <c:pt idx="0">
                  <c:v>2.8500000000000001E-2</c:v>
                </c:pt>
                <c:pt idx="1">
                  <c:v>5.5199999999999999E-2</c:v>
                </c:pt>
                <c:pt idx="2">
                  <c:v>7.2099999999999997E-2</c:v>
                </c:pt>
                <c:pt idx="3">
                  <c:v>8.1600000000000006E-2</c:v>
                </c:pt>
                <c:pt idx="4">
                  <c:v>9.8599999999999993E-2</c:v>
                </c:pt>
                <c:pt idx="5">
                  <c:v>0.122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A7F-4923-BF76-5250B3891839}"/>
            </c:ext>
          </c:extLst>
        </c:ser>
        <c:ser>
          <c:idx val="2"/>
          <c:order val="2"/>
          <c:tx>
            <c:v>G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Sheet1!$A$5:$A$11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cat>
          <c:val>
            <c:numRef>
              <c:f>Sheet1!$D$5:$D$11</c:f>
              <c:numCache>
                <c:formatCode>0.00%</c:formatCode>
                <c:ptCount val="7"/>
                <c:pt idx="0">
                  <c:v>8.2799999999999999E-2</c:v>
                </c:pt>
                <c:pt idx="1">
                  <c:v>7.4399999999999994E-2</c:v>
                </c:pt>
                <c:pt idx="2">
                  <c:v>7.2099999999999997E-2</c:v>
                </c:pt>
                <c:pt idx="3">
                  <c:v>6.6699999999999995E-2</c:v>
                </c:pt>
                <c:pt idx="4">
                  <c:v>6.2675300000000003E-2</c:v>
                </c:pt>
                <c:pt idx="5">
                  <c:v>6.08E-2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A7F-4923-BF76-5250B3891839}"/>
            </c:ext>
          </c:extLst>
        </c:ser>
        <c:ser>
          <c:idx val="3"/>
          <c:order val="3"/>
          <c:tx>
            <c:v>Tc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Sheet1!$A$5:$A$11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cat>
          <c:val>
            <c:numRef>
              <c:f>Sheet1!$E$5:$E$11</c:f>
              <c:numCache>
                <c:formatCode>0.00%</c:formatCode>
                <c:ptCount val="7"/>
                <c:pt idx="0">
                  <c:v>7.2900000000000006E-2</c:v>
                </c:pt>
                <c:pt idx="1">
                  <c:v>7.2559999999999999E-2</c:v>
                </c:pt>
                <c:pt idx="2">
                  <c:v>7.2099999999999997E-2</c:v>
                </c:pt>
                <c:pt idx="3">
                  <c:v>7.1900000000000006E-2</c:v>
                </c:pt>
                <c:pt idx="4">
                  <c:v>7.1375999999999995E-2</c:v>
                </c:pt>
                <c:pt idx="5">
                  <c:v>7.0914000000000005E-2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A7F-4923-BF76-5250B3891839}"/>
            </c:ext>
          </c:extLst>
        </c:ser>
        <c:ser>
          <c:idx val="4"/>
          <c:order val="4"/>
          <c:tx>
            <c:strRef>
              <c:f>Sheet1!$F$4</c:f>
              <c:strCache>
                <c:ptCount val="1"/>
                <c:pt idx="0">
                  <c:v>Mean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Sheet1!$A$5:$A$11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cat>
          <c:val>
            <c:numRef>
              <c:f>Sheet1!$F$5:$F$11</c:f>
              <c:numCache>
                <c:formatCode>0.00%</c:formatCode>
                <c:ptCount val="7"/>
                <c:pt idx="0">
                  <c:v>7.2099999999999997E-2</c:v>
                </c:pt>
                <c:pt idx="1">
                  <c:v>7.2099999999999997E-2</c:v>
                </c:pt>
                <c:pt idx="2">
                  <c:v>7.2099999999999997E-2</c:v>
                </c:pt>
                <c:pt idx="3">
                  <c:v>7.2099999999999997E-2</c:v>
                </c:pt>
                <c:pt idx="4">
                  <c:v>7.2099999999999997E-2</c:v>
                </c:pt>
                <c:pt idx="5">
                  <c:v>7.2099999999999997E-2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A7F-4923-BF76-5250B38918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16467240"/>
        <c:axId val="882516472"/>
      </c:lineChart>
      <c:catAx>
        <c:axId val="7164672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>
                    <a:latin typeface="Arial" panose="020B0604020202020204" pitchFamily="34" charset="0"/>
                    <a:cs typeface="Arial" panose="020B0604020202020204" pitchFamily="34" charset="0"/>
                  </a:rPr>
                  <a:t>Change in Input Variable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882516472"/>
        <c:crosses val="autoZero"/>
        <c:auto val="1"/>
        <c:lblAlgn val="ctr"/>
        <c:lblOffset val="100"/>
        <c:noMultiLvlLbl val="0"/>
      </c:catAx>
      <c:valAx>
        <c:axId val="88251647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>
                    <a:latin typeface="Arial" panose="020B0604020202020204" pitchFamily="34" charset="0"/>
                    <a:cs typeface="Arial" panose="020B0604020202020204" pitchFamily="34" charset="0"/>
                  </a:rPr>
                  <a:t>WACC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0.00%" sourceLinked="1"/>
        <c:majorTickMark val="out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716467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80958179008111786"/>
          <c:y val="0.54006779843056718"/>
          <c:w val="0.15667828106852497"/>
          <c:h val="0.3337599935557927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b9b9b-8c43-4da2-8172-31b8c25d0a71}"/>
      </w:docPartPr>
      <w:docPartBody>
        <w:p w14:paraId="2A90660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HMR20</b:Tag>
    <b:SourceType>InternetSite</b:SourceType>
    <b:Guid>{540066E8-1B7C-4E8F-9009-A45845035C80}</b:Guid>
    <b:Title>Rates and allowances for Corporation Tax</b:Title>
    <b:Year>2020</b:Year>
    <b:Author>
      <b:Author>
        <b:Corporate>HMRC</b:Corporate>
      </b:Author>
    </b:Author>
    <b:YearAccessed>2020</b:YearAccessed>
    <b:MonthAccessed>December</b:MonthAccessed>
    <b:DayAccessed>12</b:DayAccessed>
    <b:URL>https://www.gov.uk/government/publications/rates-and-allowances-corporation-tax/rates-and-allowances-corporation-tax#:~:text=At%20Summer%20Budget%202015%2C%20the,year%20starting%201%20April%202020.</b:URL>
    <b:RefOrder>1</b:RefOrder>
  </b:Source>
</b:Sources>
</file>

<file path=customXml/itemProps1.xml><?xml version="1.0" encoding="utf-8"?>
<ds:datastoreItem xmlns:ds="http://schemas.openxmlformats.org/officeDocument/2006/customXml" ds:itemID="{E35E0851-2FA3-4DC3-B6A3-3960E41779B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(pg) Nicholas Efrem</dc:creator>
  <keywords/>
  <dc:description/>
  <lastModifiedBy>(pg) Anirudh Srinivas</lastModifiedBy>
  <revision>254</revision>
  <dcterms:created xsi:type="dcterms:W3CDTF">2020-12-03T01:52:00.0000000Z</dcterms:created>
  <dcterms:modified xsi:type="dcterms:W3CDTF">2020-12-14T20:01:22.2038018Z</dcterms:modified>
</coreProperties>
</file>