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33405">
      <w:pPr>
        <w:pStyle w:val="31"/>
      </w:pPr>
      <w:r>
        <w:t>设计分析报告</w:t>
      </w:r>
    </w:p>
    <w:p w14:paraId="25E3D8B7">
      <w:r>
        <w:rPr>
          <w:rFonts w:ascii="微软雅黑" w:hAnsi="微软雅黑"/>
          <w:sz w:val="22"/>
        </w:rPr>
        <w:t>项目：车载视觉感知与人机交互Web系统（VisionDrive 智视驾）</w:t>
      </w:r>
    </w:p>
    <w:p w14:paraId="0F7E299F">
      <w:pPr>
        <w:rPr>
          <w:rFonts w:hint="eastAsia" w:eastAsia="宋体"/>
          <w:lang w:eastAsia="zh-CN"/>
        </w:rPr>
      </w:pPr>
      <w:r>
        <w:rPr>
          <w:rFonts w:ascii="微软雅黑" w:hAnsi="微软雅黑"/>
          <w:sz w:val="22"/>
        </w:rPr>
        <w:t xml:space="preserve">版本：v1.0    日期：2026.7.6 </w:t>
      </w:r>
      <w:bookmarkStart w:id="0" w:name="_GoBack"/>
      <w:bookmarkEnd w:id="0"/>
    </w:p>
    <w:p w14:paraId="71A9E6E7"/>
    <w:p w14:paraId="0483A9EB">
      <w:pPr>
        <w:pStyle w:val="3"/>
      </w:pPr>
      <w:r>
        <w:t>一、系统架构设计</w:t>
      </w:r>
    </w:p>
    <w:p w14:paraId="4A229DD6">
      <w:pPr>
        <w:pStyle w:val="4"/>
      </w:pPr>
      <w:r>
        <w:t>1.1 架构设计原则</w:t>
      </w:r>
    </w:p>
    <w:p w14:paraId="63D566D4">
      <w:r>
        <w:rPr>
          <w:rFonts w:ascii="微软雅黑" w:hAnsi="微软雅黑"/>
          <w:sz w:val="22"/>
        </w:rPr>
        <w:t>1. 前后端分离：Vue 3前端与Java后端通过HTTP REST + WebSocket通信，前端不直接访问算法服务。</w:t>
      </w:r>
    </w:p>
    <w:p w14:paraId="344AFCB4">
      <w:r>
        <w:rPr>
          <w:rFonts w:ascii="微软雅黑" w:hAnsi="微软雅黑"/>
          <w:sz w:val="22"/>
        </w:rPr>
        <w:t>2. 后端-算法解耦：Java后端统一负责认证、文件、数据库、推送；Python算法微服务只负责模型推理。</w:t>
      </w:r>
    </w:p>
    <w:p w14:paraId="2E9BA07D">
      <w:r>
        <w:rPr>
          <w:rFonts w:ascii="微软雅黑" w:hAnsi="微软雅黑"/>
          <w:sz w:val="22"/>
        </w:rPr>
        <w:t>3. 同步+异步混合：图片使用同步HTTP接口即时返回；视频使用异步任务模式，通过callback_url回传结果。</w:t>
      </w:r>
    </w:p>
    <w:p w14:paraId="0B56FD71">
      <w:r>
        <w:rPr>
          <w:rFonts w:ascii="微软雅黑" w:hAnsi="微软雅黑"/>
          <w:sz w:val="22"/>
        </w:rPr>
        <w:t>4. 模块化设计：三大识别模块（车牌/交警/车主）各自独立，可并行开发、独立部署、独立测试。</w:t>
      </w:r>
    </w:p>
    <w:p w14:paraId="02930DAA">
      <w:pPr>
        <w:pStyle w:val="4"/>
      </w:pPr>
      <w:r>
        <w:t>1.2 三层架构图</w:t>
      </w:r>
    </w:p>
    <w:p w14:paraId="2457B765">
      <w:r>
        <w:rPr>
          <w:rFonts w:ascii="微软雅黑" w:hAnsi="微软雅黑"/>
          <w:sz w:val="22"/>
        </w:rPr>
        <w:t>系统采用三层架构：表示层（Vue 3前端）→ 业务逻辑层（Java Spring Boot后端 + Alert Agent）→ 算法推理层（Python FastAPI微服务）。各层职责分明，通过统一协议通信。</w:t>
      </w:r>
    </w:p>
    <w:p w14:paraId="55099959">
      <w:r>
        <w:rPr>
          <w:rFonts w:ascii="微软雅黑" w:hAnsi="微软雅黑"/>
          <w:sz w:val="22"/>
        </w:rPr>
        <w:t>【表示层 - Vue 3前端】</w:t>
      </w:r>
    </w:p>
    <w:p w14:paraId="22ABA149">
      <w:r>
        <w:rPr>
          <w:rFonts w:ascii="微软雅黑" w:hAnsi="微软雅黑"/>
          <w:sz w:val="22"/>
        </w:rPr>
        <w:t>· 技术栈：Vue 3 + Element Plus/Naive UI + Axios + WebSocket</w:t>
      </w:r>
    </w:p>
    <w:p w14:paraId="7311CE3B">
      <w:r>
        <w:rPr>
          <w:rFonts w:ascii="微软雅黑" w:hAnsi="微软雅黑"/>
          <w:sz w:val="22"/>
        </w:rPr>
        <w:t>· 页面：车牌识别页、交警手势页、车主手势页、告警仪表盘、历史记录页、登录页</w:t>
      </w:r>
    </w:p>
    <w:p w14:paraId="44EFDC4F">
      <w:r>
        <w:rPr>
          <w:rFonts w:ascii="微软雅黑" w:hAnsi="微软雅黑"/>
          <w:sz w:val="22"/>
        </w:rPr>
        <w:t>· 职责：用户交互、结果可视化、实时推送接收</w:t>
      </w:r>
    </w:p>
    <w:p w14:paraId="7951BE0F">
      <w:r>
        <w:rPr>
          <w:rFonts w:ascii="微软雅黑" w:hAnsi="微软雅黑"/>
          <w:sz w:val="22"/>
        </w:rPr>
        <w:t>【业务逻辑层 - Java Spring Boot后端】</w:t>
      </w:r>
    </w:p>
    <w:p w14:paraId="0AE78108">
      <w:r>
        <w:rPr>
          <w:rFonts w:ascii="微软雅黑" w:hAnsi="微软雅黑"/>
          <w:sz w:val="22"/>
        </w:rPr>
        <w:t>· 技术栈：Java + Spring Boot + MyBatis/JPA + WebSocket</w:t>
      </w:r>
    </w:p>
    <w:p w14:paraId="25ED3226">
      <w:r>
        <w:rPr>
          <w:rFonts w:ascii="微软雅黑" w:hAnsi="微软雅黑"/>
          <w:sz w:val="22"/>
        </w:rPr>
        <w:t>· 模块：用户认证、文件上传、数据库存储、历史记录、告警处理、Alert Agent</w:t>
      </w:r>
    </w:p>
    <w:p w14:paraId="3EF66BE3">
      <w:r>
        <w:rPr>
          <w:rFonts w:ascii="微软雅黑" w:hAnsi="微软雅黑"/>
          <w:sz w:val="22"/>
        </w:rPr>
        <w:t>· 对外接口：RESTful API（/api/v1/*）+ WebSocket（/ws/alerts）</w:t>
      </w:r>
    </w:p>
    <w:p w14:paraId="62ED62F4">
      <w:r>
        <w:rPr>
          <w:rFonts w:ascii="微软雅黑" w:hAnsi="微软雅黑"/>
          <w:sz w:val="22"/>
        </w:rPr>
        <w:t>· 对内接口：HTTP REST调用Python算法微服务</w:t>
      </w:r>
    </w:p>
    <w:p w14:paraId="40063044">
      <w:r>
        <w:rPr>
          <w:rFonts w:ascii="微软雅黑" w:hAnsi="微软雅黑"/>
          <w:sz w:val="22"/>
        </w:rPr>
        <w:t>【算法推理层 - Python FastAPI微服务】</w:t>
      </w:r>
    </w:p>
    <w:p w14:paraId="08B59B2B">
      <w:r>
        <w:rPr>
          <w:rFonts w:ascii="微软雅黑" w:hAnsi="微软雅黑"/>
          <w:sz w:val="22"/>
        </w:rPr>
        <w:t>· 技术栈：Python + FastAPI + YOLOv8 + PaddleOCR + MediaPipe + ST-GCN</w:t>
      </w:r>
    </w:p>
    <w:p w14:paraId="551BCFB7">
      <w:r>
        <w:rPr>
          <w:rFonts w:ascii="微软雅黑" w:hAnsi="微软雅黑"/>
          <w:sz w:val="22"/>
        </w:rPr>
        <w:t>· 模块：车牌识别、交警手势识别、车主手势识别、视频任务处理、推理日志</w:t>
      </w:r>
    </w:p>
    <w:p w14:paraId="64A380BF">
      <w:r>
        <w:rPr>
          <w:rFonts w:ascii="微软雅黑" w:hAnsi="微软雅黑"/>
          <w:sz w:val="22"/>
        </w:rPr>
        <w:t>· 接口：POST /api/v1/inference/image（同步）+ POST /api/v1/jobs（异步）</w:t>
      </w:r>
    </w:p>
    <w:p w14:paraId="5D935138">
      <w:r>
        <w:rPr>
          <w:rFonts w:ascii="微软雅黑" w:hAnsi="微软雅黑"/>
          <w:sz w:val="22"/>
        </w:rPr>
        <w:t>· 部署：独立进程，端口8000</w:t>
      </w:r>
    </w:p>
    <w:p w14:paraId="3F000C57">
      <w:r>
        <w:br w:type="page"/>
      </w:r>
    </w:p>
    <w:p w14:paraId="6E8B7F51">
      <w:pPr>
        <w:pStyle w:val="3"/>
      </w:pPr>
      <w:r>
        <w:t>二、API接口设计</w:t>
      </w:r>
    </w:p>
    <w:p w14:paraId="0EF69AC5">
      <w:pPr>
        <w:pStyle w:val="4"/>
      </w:pPr>
      <w:r>
        <w:t>2.1 设计原则</w:t>
      </w:r>
    </w:p>
    <w:p w14:paraId="2B560B37">
      <w:r>
        <w:rPr>
          <w:rFonts w:ascii="微软雅黑" w:hAnsi="微软雅黑"/>
          <w:sz w:val="22"/>
        </w:rPr>
        <w:t>1. 统一入口：图片推理使用单一接口 POST /api/v1/inference/image，通过task_type字段区分任务类型（license_plate / police_gesture / owner_gesture），避免为每种任务维护独立端点。</w:t>
      </w:r>
    </w:p>
    <w:p w14:paraId="0B93C531">
      <w:r>
        <w:rPr>
          <w:rFonts w:ascii="微软雅黑" w:hAnsi="微软雅黑"/>
          <w:sz w:val="22"/>
        </w:rPr>
        <w:t>2. 异步解耦：视频等长时间任务使用Job模式提交，通过callback_url异步回传结果，前端通过轮询或WebSocket获取进度。</w:t>
      </w:r>
    </w:p>
    <w:p w14:paraId="06B0D011">
      <w:r>
        <w:rPr>
          <w:rFonts w:ascii="微软雅黑" w:hAnsi="微软雅黑"/>
          <w:sz w:val="22"/>
        </w:rPr>
        <w:t>3. 统一响应格式：所有接口返回{code, message, request_id, timestamp, data}结构，便于前端统一处理。</w:t>
      </w:r>
    </w:p>
    <w:p w14:paraId="591A3E03">
      <w:r>
        <w:rPr>
          <w:rFonts w:ascii="微软雅黑" w:hAnsi="微软雅黑"/>
          <w:sz w:val="22"/>
        </w:rPr>
        <w:t>4. 认证分层：前端→后端接口需JWT认证；后端→算法为内部调用，通过X-Request-ID链路追踪。</w:t>
      </w:r>
    </w:p>
    <w:p w14:paraId="410728F5">
      <w:pPr>
        <w:pStyle w:val="4"/>
      </w:pPr>
      <w:r>
        <w:t>2.2 核心接口设计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"/>
        <w:gridCol w:w="694"/>
        <w:gridCol w:w="2676"/>
        <w:gridCol w:w="5084"/>
      </w:tblGrid>
      <w:tr w14:paraId="38D7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939330">
            <w:pPr>
              <w:spacing w:after="0" w:line="240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2160" w:type="dxa"/>
          </w:tcPr>
          <w:p w14:paraId="18FF3AC3">
            <w:pPr>
              <w:spacing w:after="0" w:line="240" w:lineRule="auto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2160" w:type="dxa"/>
          </w:tcPr>
          <w:p w14:paraId="5BAEE025">
            <w:pPr>
              <w:spacing w:after="0" w:line="240" w:lineRule="auto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2160" w:type="dxa"/>
          </w:tcPr>
          <w:p w14:paraId="66D64F50">
            <w:pPr>
              <w:spacing w:after="0" w:line="240" w:lineRule="auto"/>
            </w:pPr>
            <w:r>
              <w:rPr>
                <w:b/>
                <w:sz w:val="20"/>
              </w:rPr>
              <w:t>说明</w:t>
            </w:r>
          </w:p>
        </w:tc>
      </w:tr>
      <w:tr w14:paraId="66E4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C52F04">
            <w:pPr>
              <w:spacing w:after="0" w:line="240" w:lineRule="auto"/>
            </w:pPr>
            <w:r>
              <w:rPr>
                <w:sz w:val="20"/>
              </w:rPr>
              <w:t>统一图片推理</w:t>
            </w:r>
          </w:p>
        </w:tc>
        <w:tc>
          <w:tcPr>
            <w:tcW w:w="2160" w:type="dxa"/>
          </w:tcPr>
          <w:p w14:paraId="7C6B9E18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07F7E890">
            <w:pPr>
              <w:spacing w:after="0" w:line="240" w:lineRule="auto"/>
            </w:pPr>
            <w:r>
              <w:rPr>
                <w:sz w:val="20"/>
              </w:rPr>
              <w:t>/api/v1/inference/image</w:t>
            </w:r>
          </w:p>
        </w:tc>
        <w:tc>
          <w:tcPr>
            <w:tcW w:w="2160" w:type="dxa"/>
          </w:tcPr>
          <w:p w14:paraId="4DBCEC7D">
            <w:pPr>
              <w:spacing w:after="0" w:line="240" w:lineRule="auto"/>
            </w:pPr>
            <w:r>
              <w:rPr>
                <w:sz w:val="20"/>
              </w:rPr>
              <w:t>传入task_type + image_url，同步返回识别结果</w:t>
            </w:r>
          </w:p>
        </w:tc>
      </w:tr>
      <w:tr w14:paraId="19F43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DE1FCE">
            <w:pPr>
              <w:spacing w:after="0" w:line="240" w:lineRule="auto"/>
            </w:pPr>
            <w:r>
              <w:rPr>
                <w:sz w:val="20"/>
              </w:rPr>
              <w:t>创建视频任务</w:t>
            </w:r>
          </w:p>
        </w:tc>
        <w:tc>
          <w:tcPr>
            <w:tcW w:w="2160" w:type="dxa"/>
          </w:tcPr>
          <w:p w14:paraId="0B7677B1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1DA48D85">
            <w:pPr>
              <w:spacing w:after="0" w:line="240" w:lineRule="auto"/>
            </w:pPr>
            <w:r>
              <w:rPr>
                <w:sz w:val="20"/>
              </w:rPr>
              <w:t>/api/v1/jobs</w:t>
            </w:r>
          </w:p>
        </w:tc>
        <w:tc>
          <w:tcPr>
            <w:tcW w:w="2160" w:type="dxa"/>
          </w:tcPr>
          <w:p w14:paraId="03FA7F58">
            <w:pPr>
              <w:spacing w:after="0" w:line="240" w:lineRule="auto"/>
            </w:pPr>
            <w:r>
              <w:rPr>
                <w:sz w:val="20"/>
              </w:rPr>
              <w:t>传入task_type + video_url + callback_url + options</w:t>
            </w:r>
          </w:p>
        </w:tc>
      </w:tr>
      <w:tr w14:paraId="6E06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432460">
            <w:pPr>
              <w:spacing w:after="0" w:line="240" w:lineRule="auto"/>
            </w:pPr>
            <w:r>
              <w:rPr>
                <w:sz w:val="20"/>
              </w:rPr>
              <w:t>查询任务状态</w:t>
            </w:r>
          </w:p>
        </w:tc>
        <w:tc>
          <w:tcPr>
            <w:tcW w:w="2160" w:type="dxa"/>
          </w:tcPr>
          <w:p w14:paraId="260F746A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43374F2F">
            <w:pPr>
              <w:spacing w:after="0" w:line="240" w:lineRule="auto"/>
            </w:pPr>
            <w:r>
              <w:rPr>
                <w:sz w:val="20"/>
              </w:rPr>
              <w:t>/api/v1/jobs/{job_id}</w:t>
            </w:r>
          </w:p>
        </w:tc>
        <w:tc>
          <w:tcPr>
            <w:tcW w:w="2160" w:type="dxa"/>
          </w:tcPr>
          <w:p w14:paraId="45A62FE0">
            <w:pPr>
              <w:spacing w:after="0" w:line="240" w:lineRule="auto"/>
            </w:pPr>
            <w:r>
              <w:rPr>
                <w:sz w:val="20"/>
              </w:rPr>
              <w:t>返回status(queued/processing/completed/failed/cancelled) + progress</w:t>
            </w:r>
          </w:p>
        </w:tc>
      </w:tr>
      <w:tr w14:paraId="166F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C30F47">
            <w:pPr>
              <w:spacing w:after="0" w:line="240" w:lineRule="auto"/>
            </w:pPr>
            <w:r>
              <w:rPr>
                <w:sz w:val="20"/>
              </w:rPr>
              <w:t>取消任务</w:t>
            </w:r>
          </w:p>
        </w:tc>
        <w:tc>
          <w:tcPr>
            <w:tcW w:w="2160" w:type="dxa"/>
          </w:tcPr>
          <w:p w14:paraId="5A220DE0">
            <w:pPr>
              <w:spacing w:after="0" w:line="240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6A314265">
            <w:pPr>
              <w:spacing w:after="0" w:line="240" w:lineRule="auto"/>
            </w:pPr>
            <w:r>
              <w:rPr>
                <w:sz w:val="20"/>
              </w:rPr>
              <w:t>/api/v1/jobs/{job_id}/cancel</w:t>
            </w:r>
          </w:p>
        </w:tc>
        <w:tc>
          <w:tcPr>
            <w:tcW w:w="2160" w:type="dxa"/>
          </w:tcPr>
          <w:p w14:paraId="48FB8420">
            <w:pPr>
              <w:spacing w:after="0" w:line="240" w:lineRule="auto"/>
            </w:pPr>
            <w:r>
              <w:rPr>
                <w:sz w:val="20"/>
              </w:rPr>
              <w:t>取消正在排队或处理中的任务</w:t>
            </w:r>
          </w:p>
        </w:tc>
      </w:tr>
      <w:tr w14:paraId="5F8F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EC7A30">
            <w:pPr>
              <w:spacing w:after="0" w:line="240" w:lineRule="auto"/>
            </w:pPr>
            <w:r>
              <w:rPr>
                <w:sz w:val="20"/>
              </w:rPr>
              <w:t>查询历史记录</w:t>
            </w:r>
          </w:p>
        </w:tc>
        <w:tc>
          <w:tcPr>
            <w:tcW w:w="2160" w:type="dxa"/>
          </w:tcPr>
          <w:p w14:paraId="7718DD63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7E99B329">
            <w:pPr>
              <w:spacing w:after="0" w:line="240" w:lineRule="auto"/>
            </w:pPr>
            <w:r>
              <w:rPr>
                <w:sz w:val="20"/>
              </w:rPr>
              <w:t>/api/v1/records</w:t>
            </w:r>
          </w:p>
        </w:tc>
        <w:tc>
          <w:tcPr>
            <w:tcW w:w="2160" w:type="dxa"/>
          </w:tcPr>
          <w:p w14:paraId="1FE9162C">
            <w:pPr>
              <w:spacing w:after="0" w:line="240" w:lineRule="auto"/>
            </w:pPr>
            <w:r>
              <w:rPr>
                <w:sz w:val="20"/>
              </w:rPr>
              <w:t>支持按task_type、时间范围、条件筛选+分页</w:t>
            </w:r>
          </w:p>
        </w:tc>
      </w:tr>
      <w:tr w14:paraId="1D17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F46BA9F">
            <w:pPr>
              <w:spacing w:after="0" w:line="240" w:lineRule="auto"/>
            </w:pPr>
            <w:r>
              <w:rPr>
                <w:sz w:val="20"/>
              </w:rPr>
              <w:t>告警列表/统计</w:t>
            </w:r>
          </w:p>
        </w:tc>
        <w:tc>
          <w:tcPr>
            <w:tcW w:w="2160" w:type="dxa"/>
          </w:tcPr>
          <w:p w14:paraId="63BC74E0">
            <w:pPr>
              <w:spacing w:after="0" w:line="240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02B2F6C4">
            <w:pPr>
              <w:spacing w:after="0" w:line="240" w:lineRule="auto"/>
            </w:pPr>
            <w:r>
              <w:rPr>
                <w:sz w:val="20"/>
              </w:rPr>
              <w:t>/api/v1/alerts 等</w:t>
            </w:r>
          </w:p>
        </w:tc>
        <w:tc>
          <w:tcPr>
            <w:tcW w:w="2160" w:type="dxa"/>
          </w:tcPr>
          <w:p w14:paraId="5B609269">
            <w:pPr>
              <w:spacing w:after="0" w:line="240" w:lineRule="auto"/>
            </w:pPr>
            <w:r>
              <w:rPr>
                <w:sz w:val="20"/>
              </w:rPr>
              <w:t>告警CRUD + 统计数据</w:t>
            </w:r>
          </w:p>
        </w:tc>
      </w:tr>
      <w:tr w14:paraId="01C7C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91A6ACB">
            <w:pPr>
              <w:spacing w:after="0" w:line="240" w:lineRule="auto"/>
            </w:pPr>
            <w:r>
              <w:rPr>
                <w:sz w:val="20"/>
              </w:rPr>
              <w:t>实时推送</w:t>
            </w:r>
          </w:p>
        </w:tc>
        <w:tc>
          <w:tcPr>
            <w:tcW w:w="2160" w:type="dxa"/>
          </w:tcPr>
          <w:p w14:paraId="3557B92B">
            <w:pPr>
              <w:spacing w:after="0" w:line="240" w:lineRule="auto"/>
            </w:pPr>
            <w:r>
              <w:rPr>
                <w:sz w:val="20"/>
              </w:rPr>
              <w:t>WS</w:t>
            </w:r>
          </w:p>
        </w:tc>
        <w:tc>
          <w:tcPr>
            <w:tcW w:w="2160" w:type="dxa"/>
          </w:tcPr>
          <w:p w14:paraId="63267856">
            <w:pPr>
              <w:spacing w:after="0" w:line="240" w:lineRule="auto"/>
            </w:pPr>
            <w:r>
              <w:rPr>
                <w:sz w:val="20"/>
              </w:rPr>
              <w:t>/ws/alerts</w:t>
            </w:r>
          </w:p>
        </w:tc>
        <w:tc>
          <w:tcPr>
            <w:tcW w:w="2160" w:type="dxa"/>
          </w:tcPr>
          <w:p w14:paraId="3765D37F">
            <w:pPr>
              <w:spacing w:after="0" w:line="240" w:lineRule="auto"/>
            </w:pPr>
            <w:r>
              <w:rPr>
                <w:sz w:val="20"/>
              </w:rPr>
              <w:t>WebSocket推送告警通知</w:t>
            </w:r>
          </w:p>
        </w:tc>
      </w:tr>
    </w:tbl>
    <w:p w14:paraId="5E92C3A8"/>
    <w:p w14:paraId="7D172682">
      <w:pPr>
        <w:pStyle w:val="4"/>
      </w:pPr>
      <w:r>
        <w:t>2.3 响应数据结构设计</w:t>
      </w:r>
    </w:p>
    <w:p w14:paraId="5F8F1AE1">
      <w:r>
        <w:rPr>
          <w:rFonts w:ascii="微软雅黑" w:hAnsi="微软雅黑"/>
          <w:sz w:val="22"/>
        </w:rPr>
        <w:t>车牌识别检测结果（detections数组元素）：</w:t>
      </w:r>
    </w:p>
    <w:p w14:paraId="6DF012A9">
      <w:r>
        <w:rPr>
          <w:rFonts w:ascii="微软雅黑" w:hAnsi="微软雅黑"/>
          <w:sz w:val="22"/>
        </w:rPr>
        <w:t>{object_id, object_type: "license_plate", bbox: {x1,y1,x2,y2}, position: {center_x, center_y, width, height}, plate_number, plate_color, plate_type, detection_confidence, ocr_confidence, confidence}</w:t>
      </w:r>
    </w:p>
    <w:p w14:paraId="05A6D8B4">
      <w:r>
        <w:rPr>
          <w:rFonts w:ascii="微软雅黑" w:hAnsi="微软雅黑"/>
          <w:sz w:val="22"/>
        </w:rPr>
        <w:t>交警手势检测结果：</w:t>
      </w:r>
    </w:p>
    <w:p w14:paraId="5B07AAE0">
      <w:r>
        <w:rPr>
          <w:rFonts w:ascii="微软雅黑" w:hAnsi="微软雅黑"/>
          <w:sz w:val="22"/>
        </w:rPr>
        <w:t>{object_id, object_type: "traffic_police", track_id, bbox: {x1,y1,x2,y2}, confidence, attributes: {gesture_code, gesture_name}, keypoints: [{name, x, y, score}]}</w:t>
      </w:r>
    </w:p>
    <w:p w14:paraId="1C667904">
      <w:r>
        <w:rPr>
          <w:rFonts w:ascii="微软雅黑" w:hAnsi="微软雅黑"/>
          <w:sz w:val="22"/>
        </w:rPr>
        <w:t>车主手势检测结果：</w:t>
      </w:r>
    </w:p>
    <w:p w14:paraId="1F558065">
      <w:r>
        <w:rPr>
          <w:rFonts w:ascii="微软雅黑" w:hAnsi="微软雅黑"/>
          <w:sz w:val="22"/>
        </w:rPr>
        <w:t>{object_id, object_type: "hand", track_id, confidence, attributes: {gesture_code}, keypoints: [{name, x, y, score}]}</w:t>
      </w:r>
    </w:p>
    <w:p w14:paraId="36AC2FB2">
      <w:pPr>
        <w:pStyle w:val="3"/>
      </w:pPr>
      <w:r>
        <w:t>三、UI/UX设计分析</w:t>
      </w:r>
    </w:p>
    <w:p w14:paraId="0C136395">
      <w:pPr>
        <w:pStyle w:val="4"/>
      </w:pPr>
      <w:r>
        <w:t>3.1 整体布局设计</w:t>
      </w:r>
    </w:p>
    <w:p w14:paraId="069F06B9">
      <w:r>
        <w:rPr>
          <w:rFonts w:ascii="微软雅黑" w:hAnsi="微软雅黑"/>
          <w:sz w:val="22"/>
        </w:rPr>
        <w:t>采用经典后台管理系统布局：顶部导航栏 + 左侧侧边栏菜单 + 主内容区 + 底部状态栏。设计面向桌面端（1920×1080 / 1366×768），不做移动端适配。</w:t>
      </w:r>
    </w:p>
    <w:p w14:paraId="02CBB5FE">
      <w:r>
        <w:rPr>
          <w:rFonts w:ascii="微软雅黑" w:hAnsi="微软雅黑"/>
          <w:sz w:val="22"/>
        </w:rPr>
        <w:t>配色方案：深蓝主色调（#1a73e8）营造科技感与专业感；白色内容区保证可读性；功能色使用绿（#34a853 成功/正常）、红（#ea4335 告警/错误）、黄（#fbbc04 警告），遵循通用色彩语义。</w:t>
      </w:r>
    </w:p>
    <w:p w14:paraId="3E2B0C54">
      <w:pPr>
        <w:pStyle w:val="4"/>
      </w:pPr>
      <w:r>
        <w:t>3.2 各页面设计要点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60B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F1FC548">
            <w:pPr>
              <w:spacing w:after="0" w:line="240" w:lineRule="auto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w="2160" w:type="dxa"/>
          </w:tcPr>
          <w:p w14:paraId="59AAE749">
            <w:pPr>
              <w:spacing w:after="0" w:line="240" w:lineRule="auto"/>
            </w:pPr>
            <w:r>
              <w:rPr>
                <w:b/>
                <w:sz w:val="20"/>
              </w:rPr>
              <w:t>布局</w:t>
            </w:r>
          </w:p>
        </w:tc>
        <w:tc>
          <w:tcPr>
            <w:tcW w:w="2160" w:type="dxa"/>
          </w:tcPr>
          <w:p w14:paraId="08255906">
            <w:pPr>
              <w:spacing w:after="0" w:line="240" w:lineRule="auto"/>
            </w:pPr>
            <w:r>
              <w:rPr>
                <w:b/>
                <w:sz w:val="20"/>
              </w:rPr>
              <w:t>核心交互</w:t>
            </w:r>
          </w:p>
        </w:tc>
        <w:tc>
          <w:tcPr>
            <w:tcW w:w="2160" w:type="dxa"/>
          </w:tcPr>
          <w:p w14:paraId="076E4385">
            <w:pPr>
              <w:spacing w:after="0" w:line="240" w:lineRule="auto"/>
            </w:pPr>
            <w:r>
              <w:rPr>
                <w:b/>
                <w:sz w:val="20"/>
              </w:rPr>
              <w:t>视觉重点</w:t>
            </w:r>
          </w:p>
        </w:tc>
      </w:tr>
      <w:tr w14:paraId="7985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55A941D">
            <w:pPr>
              <w:spacing w:after="0" w:line="240" w:lineRule="auto"/>
            </w:pPr>
            <w:r>
              <w:rPr>
                <w:sz w:val="20"/>
              </w:rPr>
              <w:t>车牌识别页</w:t>
            </w:r>
          </w:p>
        </w:tc>
        <w:tc>
          <w:tcPr>
            <w:tcW w:w="2160" w:type="dxa"/>
          </w:tcPr>
          <w:p w14:paraId="7BE13018">
            <w:pPr>
              <w:spacing w:after="0" w:line="240" w:lineRule="auto"/>
            </w:pPr>
            <w:r>
              <w:rPr>
                <w:sz w:val="20"/>
              </w:rPr>
              <w:t>左上传+中展示+右结果</w:t>
            </w:r>
          </w:p>
        </w:tc>
        <w:tc>
          <w:tcPr>
            <w:tcW w:w="2160" w:type="dxa"/>
          </w:tcPr>
          <w:p w14:paraId="0C5DBB1B">
            <w:pPr>
              <w:spacing w:after="0" w:line="240" w:lineRule="auto"/>
            </w:pPr>
            <w:r>
              <w:rPr>
                <w:sz w:val="20"/>
              </w:rPr>
              <w:t>拖拽上传、结果列表点击查看详情</w:t>
            </w:r>
          </w:p>
        </w:tc>
        <w:tc>
          <w:tcPr>
            <w:tcW w:w="2160" w:type="dxa"/>
          </w:tcPr>
          <w:p w14:paraId="29BB5D97">
            <w:pPr>
              <w:spacing w:after="0" w:line="240" w:lineRule="auto"/>
            </w:pPr>
            <w:r>
              <w:rPr>
                <w:sz w:val="20"/>
              </w:rPr>
              <w:t>绿色检测框叠加、车牌号标签</w:t>
            </w:r>
          </w:p>
        </w:tc>
      </w:tr>
      <w:tr w14:paraId="6C31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E2EC2EE">
            <w:pPr>
              <w:spacing w:after="0" w:line="240" w:lineRule="auto"/>
            </w:pPr>
            <w:r>
              <w:rPr>
                <w:sz w:val="20"/>
              </w:rPr>
              <w:t>交警手势页</w:t>
            </w:r>
          </w:p>
        </w:tc>
        <w:tc>
          <w:tcPr>
            <w:tcW w:w="2160" w:type="dxa"/>
          </w:tcPr>
          <w:p w14:paraId="2013A5FA">
            <w:pPr>
              <w:spacing w:after="0" w:line="240" w:lineRule="auto"/>
            </w:pPr>
            <w:r>
              <w:rPr>
                <w:sz w:val="20"/>
              </w:rPr>
              <w:t>左视频+右面板</w:t>
            </w:r>
          </w:p>
        </w:tc>
        <w:tc>
          <w:tcPr>
            <w:tcW w:w="2160" w:type="dxa"/>
          </w:tcPr>
          <w:p w14:paraId="409B71A0">
            <w:pPr>
              <w:spacing w:after="0" w:line="240" w:lineRule="auto"/>
            </w:pPr>
            <w:r>
              <w:rPr>
                <w:sz w:val="20"/>
              </w:rPr>
              <w:t>播放/暂停/逐帧、手势置信度柱状图</w:t>
            </w:r>
          </w:p>
        </w:tc>
        <w:tc>
          <w:tcPr>
            <w:tcW w:w="2160" w:type="dxa"/>
          </w:tcPr>
          <w:p w14:paraId="286E5ED2">
            <w:pPr>
              <w:spacing w:after="0" w:line="240" w:lineRule="auto"/>
            </w:pPr>
            <w:r>
              <w:rPr>
                <w:sz w:val="20"/>
              </w:rPr>
              <w:t>白色骨架连线、彩色手势标签</w:t>
            </w:r>
          </w:p>
        </w:tc>
      </w:tr>
      <w:tr w14:paraId="79D9D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98A148">
            <w:pPr>
              <w:spacing w:after="0" w:line="240" w:lineRule="auto"/>
            </w:pPr>
            <w:r>
              <w:rPr>
                <w:sz w:val="20"/>
              </w:rPr>
              <w:t>车主手势页</w:t>
            </w:r>
          </w:p>
        </w:tc>
        <w:tc>
          <w:tcPr>
            <w:tcW w:w="2160" w:type="dxa"/>
          </w:tcPr>
          <w:p w14:paraId="290D3F63">
            <w:pPr>
              <w:spacing w:after="0" w:line="240" w:lineRule="auto"/>
            </w:pPr>
            <w:r>
              <w:rPr>
                <w:sz w:val="20"/>
              </w:rPr>
              <w:t>上摄像头+下控制面板</w:t>
            </w:r>
          </w:p>
        </w:tc>
        <w:tc>
          <w:tcPr>
            <w:tcW w:w="2160" w:type="dxa"/>
          </w:tcPr>
          <w:p w14:paraId="152F85EF">
            <w:pPr>
              <w:spacing w:after="0" w:line="240" w:lineRule="auto"/>
            </w:pPr>
            <w:r>
              <w:rPr>
                <w:sz w:val="20"/>
              </w:rPr>
              <w:t>手势实时识别→面板联动响应</w:t>
            </w:r>
          </w:p>
        </w:tc>
        <w:tc>
          <w:tcPr>
            <w:tcW w:w="2160" w:type="dxa"/>
          </w:tcPr>
          <w:p w14:paraId="77833BAB">
            <w:pPr>
              <w:spacing w:after="0" w:line="240" w:lineRule="auto"/>
            </w:pPr>
            <w:r>
              <w:rPr>
                <w:sz w:val="20"/>
              </w:rPr>
              <w:t>手部21点骨架、面板高亮反馈</w:t>
            </w:r>
          </w:p>
        </w:tc>
      </w:tr>
      <w:tr w14:paraId="2DF24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2EF48F">
            <w:pPr>
              <w:spacing w:after="0" w:line="240" w:lineRule="auto"/>
            </w:pPr>
            <w:r>
              <w:rPr>
                <w:sz w:val="20"/>
              </w:rPr>
              <w:t>告警仪表盘</w:t>
            </w:r>
          </w:p>
        </w:tc>
        <w:tc>
          <w:tcPr>
            <w:tcW w:w="2160" w:type="dxa"/>
          </w:tcPr>
          <w:p w14:paraId="72D1CDFD">
            <w:pPr>
              <w:spacing w:after="0" w:line="240" w:lineRule="auto"/>
            </w:pPr>
            <w:r>
              <w:rPr>
                <w:sz w:val="20"/>
              </w:rPr>
              <w:t>卡片+图表+实时列表</w:t>
            </w:r>
          </w:p>
        </w:tc>
        <w:tc>
          <w:tcPr>
            <w:tcW w:w="2160" w:type="dxa"/>
          </w:tcPr>
          <w:p w14:paraId="2DC17484">
            <w:pPr>
              <w:spacing w:after="0" w:line="240" w:lineRule="auto"/>
            </w:pPr>
            <w:r>
              <w:rPr>
                <w:sz w:val="20"/>
              </w:rPr>
              <w:t>WebSocket实时刷新、告警点击查看详情</w:t>
            </w:r>
          </w:p>
        </w:tc>
        <w:tc>
          <w:tcPr>
            <w:tcW w:w="2160" w:type="dxa"/>
          </w:tcPr>
          <w:p w14:paraId="0E9F81B8">
            <w:pPr>
              <w:spacing w:after="0" w:line="240" w:lineRule="auto"/>
            </w:pPr>
            <w:r>
              <w:rPr>
                <w:sz w:val="20"/>
              </w:rPr>
              <w:t>三色告警级别标签、趋势折线图</w:t>
            </w:r>
          </w:p>
        </w:tc>
      </w:tr>
      <w:tr w14:paraId="3CC2B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D10C91">
            <w:pPr>
              <w:spacing w:after="0" w:line="240" w:lineRule="auto"/>
            </w:pPr>
            <w:r>
              <w:rPr>
                <w:sz w:val="20"/>
              </w:rPr>
              <w:t>历史记录页</w:t>
            </w:r>
          </w:p>
        </w:tc>
        <w:tc>
          <w:tcPr>
            <w:tcW w:w="2160" w:type="dxa"/>
          </w:tcPr>
          <w:p w14:paraId="7C9B0171">
            <w:pPr>
              <w:spacing w:after="0" w:line="240" w:lineRule="auto"/>
            </w:pPr>
            <w:r>
              <w:rPr>
                <w:sz w:val="20"/>
              </w:rPr>
              <w:t>筛选栏+表格+分页</w:t>
            </w:r>
          </w:p>
        </w:tc>
        <w:tc>
          <w:tcPr>
            <w:tcW w:w="2160" w:type="dxa"/>
          </w:tcPr>
          <w:p w14:paraId="16D5AC02">
            <w:pPr>
              <w:spacing w:after="0" w:line="240" w:lineRule="auto"/>
            </w:pPr>
            <w:r>
              <w:rPr>
                <w:sz w:val="20"/>
              </w:rPr>
              <w:t>条件筛选、表格排序、详情弹窗</w:t>
            </w:r>
          </w:p>
        </w:tc>
        <w:tc>
          <w:tcPr>
            <w:tcW w:w="2160" w:type="dxa"/>
          </w:tcPr>
          <w:p w14:paraId="7A5DB020">
            <w:pPr>
              <w:spacing w:after="0" w:line="240" w:lineRule="auto"/>
            </w:pPr>
            <w:r>
              <w:rPr>
                <w:sz w:val="20"/>
              </w:rPr>
              <w:t>表格列状态标签、导出按钮</w:t>
            </w:r>
          </w:p>
        </w:tc>
      </w:tr>
    </w:tbl>
    <w:p w14:paraId="7C16740A"/>
    <w:p w14:paraId="5C80FE19">
      <w:pPr>
        <w:pStyle w:val="4"/>
      </w:pPr>
      <w:r>
        <w:t>3.3 交互规范</w:t>
      </w:r>
    </w:p>
    <w:p w14:paraId="768B97EC">
      <w:r>
        <w:rPr>
          <w:rFonts w:ascii="微软雅黑" w:hAnsi="微软雅黑"/>
          <w:sz w:val="22"/>
        </w:rPr>
        <w:t>· 加载态：所有异步操作（上传、识别请求）使用Element Plus骨架屏或Loading动画，避免用户等待焦虑。</w:t>
      </w:r>
    </w:p>
    <w:p w14:paraId="55FBDCBF">
      <w:r>
        <w:rPr>
          <w:rFonts w:ascii="微软雅黑" w:hAnsi="微软雅黑"/>
          <w:sz w:val="22"/>
        </w:rPr>
        <w:t>· 空状态：列表无数据时展示空状态插图和引导文案（如"暂无识别记录，去上传图片吧"）。</w:t>
      </w:r>
    </w:p>
    <w:p w14:paraId="05306457">
      <w:r>
        <w:rPr>
          <w:rFonts w:ascii="微软雅黑" w:hAnsi="微软雅黑"/>
          <w:sz w:val="22"/>
        </w:rPr>
        <w:t>· 错误态：API请求失败时顶部MessageBar弹出错误信息，5秒自动消失；严重错误（如模型服务不可用）使用Notification持久提示。</w:t>
      </w:r>
    </w:p>
    <w:p w14:paraId="2E604A62">
      <w:r>
        <w:rPr>
          <w:rFonts w:ascii="微软雅黑" w:hAnsi="微软雅黑"/>
          <w:sz w:val="22"/>
        </w:rPr>
        <w:t>· 确认机制：删除记录、取消任务等不可逆操作需弹窗二次确认。</w:t>
      </w:r>
    </w:p>
    <w:p w14:paraId="30F05998">
      <w:r>
        <w:rPr>
          <w:rFonts w:ascii="微软雅黑" w:hAnsi="微软雅黑"/>
          <w:sz w:val="22"/>
        </w:rPr>
        <w:t>· 实时反馈：告警推送使用右上角铃铛图标+数字角标，新告警到达时短暂弹窗+浏览器Notification API通知。</w:t>
      </w:r>
    </w:p>
    <w:p w14:paraId="30B8A3C3">
      <w:r>
        <w:br w:type="page"/>
      </w:r>
    </w:p>
    <w:p w14:paraId="00BF9429">
      <w:pPr>
        <w:pStyle w:val="3"/>
      </w:pPr>
      <w:r>
        <w:t>四、数据流设计</w:t>
      </w:r>
    </w:p>
    <w:p w14:paraId="0848A32D">
      <w:pPr>
        <w:pStyle w:val="4"/>
      </w:pPr>
      <w:r>
        <w:t>4.1 图片识别流程（同步）</w:t>
      </w:r>
    </w:p>
    <w:p w14:paraId="5FE9B1D9">
      <w:r>
        <w:rPr>
          <w:rFonts w:ascii="微软雅黑" w:hAnsi="微软雅黑"/>
          <w:sz w:val="22"/>
        </w:rPr>
        <w:t>1. 用户在前端选择图片 → 前端将文件上传至Java后端（multipart/form-data）</w:t>
      </w:r>
    </w:p>
    <w:p w14:paraId="1DF221A7">
      <w:r>
        <w:rPr>
          <w:rFonts w:ascii="微软雅黑" w:hAnsi="微软雅黑"/>
          <w:sz w:val="22"/>
        </w:rPr>
        <w:t>2. Java后端保存文件到本地/对象存储，生成可访问的image_url</w:t>
      </w:r>
    </w:p>
    <w:p w14:paraId="0E30EF7F">
      <w:r>
        <w:rPr>
          <w:rFonts w:ascii="微软雅黑" w:hAnsi="微软雅黑"/>
          <w:sz w:val="22"/>
        </w:rPr>
        <w:t>3. Java后端调用 Python算法服务 POST /api/v1/inference/image，传入task_type和image_url</w:t>
      </w:r>
    </w:p>
    <w:p w14:paraId="3BE2ECEC">
      <w:r>
        <w:rPr>
          <w:rFonts w:ascii="微软雅黑" w:hAnsi="微软雅黑"/>
          <w:sz w:val="22"/>
        </w:rPr>
        <w:t>4. Python算法服务加载模型 → 推理 → 返回结构化JSON结果（含检测列表、标注图URL）</w:t>
      </w:r>
    </w:p>
    <w:p w14:paraId="4D2CADCA">
      <w:r>
        <w:rPr>
          <w:rFonts w:ascii="微软雅黑" w:hAnsi="微软雅黑"/>
          <w:sz w:val="22"/>
        </w:rPr>
        <w:t>5. Java后端将结果写入数据库（识别记录表+检测结果表），返回结果给前端</w:t>
      </w:r>
    </w:p>
    <w:p w14:paraId="095F0EBB">
      <w:r>
        <w:rPr>
          <w:rFonts w:ascii="微软雅黑" w:hAnsi="微软雅黑"/>
          <w:sz w:val="22"/>
        </w:rPr>
        <w:t>6. 前端渲染标注图 + 结果列表面板</w:t>
      </w:r>
    </w:p>
    <w:p w14:paraId="14AF56FE">
      <w:pPr>
        <w:pStyle w:val="4"/>
      </w:pPr>
      <w:r>
        <w:t>4.2 视频异步任务流程</w:t>
      </w:r>
    </w:p>
    <w:p w14:paraId="3B9750E1">
      <w:r>
        <w:rPr>
          <w:rFonts w:ascii="微软雅黑" w:hAnsi="微软雅黑"/>
          <w:sz w:val="22"/>
        </w:rPr>
        <w:t>1. 用户上传视频 → Java后端创建任务记录 → 调用算法 POST /api/v1/jobs</w:t>
      </w:r>
    </w:p>
    <w:p w14:paraId="37137550">
      <w:r>
        <w:rPr>
          <w:rFonts w:ascii="微软雅黑" w:hAnsi="微软雅黑"/>
          <w:sz w:val="22"/>
        </w:rPr>
        <w:t>2. 算法服务接收任务（status: queued）→ 排队处理 → 抽帧推理</w:t>
      </w:r>
    </w:p>
    <w:p w14:paraId="2E751EB2">
      <w:r>
        <w:rPr>
          <w:rFonts w:ascii="微软雅黑" w:hAnsi="微软雅黑"/>
          <w:sz w:val="22"/>
        </w:rPr>
        <w:t>3. 每帧推理完成后通过callback_url回传结果给Java后端</w:t>
      </w:r>
    </w:p>
    <w:p w14:paraId="226943EA">
      <w:r>
        <w:rPr>
          <w:rFonts w:ascii="微软雅黑" w:hAnsi="微软雅黑"/>
          <w:sz w:val="22"/>
        </w:rPr>
        <w:t>4. Java后端通过WebSocket将实时结果推送给前端</w:t>
      </w:r>
    </w:p>
    <w:p w14:paraId="2C5855BD">
      <w:r>
        <w:rPr>
          <w:rFonts w:ascii="微软雅黑" w:hAnsi="微软雅黑"/>
          <w:sz w:val="22"/>
        </w:rPr>
        <w:t>5. 前端通过轮询 GET /api/v1/jobs/{job_id} 获取整体进度（status + progress百分比）</w:t>
      </w:r>
    </w:p>
    <w:p w14:paraId="714C3779">
      <w:r>
        <w:rPr>
          <w:rFonts w:ascii="微软雅黑" w:hAnsi="微软雅黑"/>
          <w:sz w:val="22"/>
        </w:rPr>
        <w:t>6. 任务完成 → status: completed，前端可查看完整结果列表</w:t>
      </w:r>
    </w:p>
    <w:p w14:paraId="348C4782">
      <w:pPr>
        <w:pStyle w:val="4"/>
      </w:pPr>
      <w:r>
        <w:t>4.3 告警Agent数据流</w:t>
      </w:r>
    </w:p>
    <w:p w14:paraId="741E0F2D">
      <w:r>
        <w:rPr>
          <w:rFonts w:ascii="微软雅黑" w:hAnsi="微软雅黑"/>
          <w:sz w:val="22"/>
        </w:rPr>
        <w:t>各Service写JSON日志 → Alert Agent轮询日志流 → 异常规则匹配（8种事件类型）→ 判定告警级别（提示/警告/严重）→ 调用LLM API生成结构化摘要 → 写入告警数据库表 → WebSocket实时推送前端 + SMTP邮件通知。</w:t>
      </w:r>
    </w:p>
    <w:p w14:paraId="13B36717">
      <w:pPr>
        <w:pStyle w:val="3"/>
      </w:pPr>
      <w:r>
        <w:t>五、技术选型理由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2652"/>
        <w:gridCol w:w="3657"/>
      </w:tblGrid>
      <w:tr w14:paraId="079A7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D155C94">
            <w:pPr>
              <w:spacing w:after="0" w:line="240" w:lineRule="auto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2880" w:type="dxa"/>
          </w:tcPr>
          <w:p w14:paraId="795D46E9">
            <w:pPr>
              <w:spacing w:after="0" w:line="240" w:lineRule="auto"/>
            </w:pPr>
            <w:r>
              <w:rPr>
                <w:b/>
                <w:sz w:val="20"/>
              </w:rPr>
              <w:t>选型</w:t>
            </w:r>
          </w:p>
        </w:tc>
        <w:tc>
          <w:tcPr>
            <w:tcW w:w="2880" w:type="dxa"/>
          </w:tcPr>
          <w:p w14:paraId="0B2403B2">
            <w:pPr>
              <w:spacing w:after="0" w:line="240" w:lineRule="auto"/>
            </w:pPr>
            <w:r>
              <w:rPr>
                <w:b/>
                <w:sz w:val="20"/>
              </w:rPr>
              <w:t>核心理由</w:t>
            </w:r>
          </w:p>
        </w:tc>
      </w:tr>
      <w:tr w14:paraId="16C87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07928F">
            <w:pPr>
              <w:spacing w:after="0" w:line="240" w:lineRule="auto"/>
            </w:pPr>
            <w:r>
              <w:rPr>
                <w:sz w:val="20"/>
              </w:rPr>
              <w:t>前端</w:t>
            </w:r>
          </w:p>
        </w:tc>
        <w:tc>
          <w:tcPr>
            <w:tcW w:w="2880" w:type="dxa"/>
          </w:tcPr>
          <w:p w14:paraId="54A5843D">
            <w:pPr>
              <w:spacing w:after="0" w:line="240" w:lineRule="auto"/>
            </w:pPr>
            <w:r>
              <w:rPr>
                <w:sz w:val="20"/>
              </w:rPr>
              <w:t>Vue 3 + Element Plus</w:t>
            </w:r>
          </w:p>
        </w:tc>
        <w:tc>
          <w:tcPr>
            <w:tcW w:w="2880" w:type="dxa"/>
          </w:tcPr>
          <w:p w14:paraId="0428AD19">
            <w:pPr>
              <w:spacing w:after="0" w:line="240" w:lineRule="auto"/>
            </w:pPr>
            <w:r>
              <w:rPr>
                <w:sz w:val="20"/>
              </w:rPr>
              <w:t>团队熟悉度高；组件库成熟（表格、表单、图表开箱即用）；适合后台管理风格界面</w:t>
            </w:r>
          </w:p>
        </w:tc>
      </w:tr>
      <w:tr w14:paraId="55C31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0F1C22F">
            <w:pPr>
              <w:spacing w:after="0" w:line="240" w:lineRule="auto"/>
            </w:pPr>
            <w:r>
              <w:rPr>
                <w:sz w:val="20"/>
              </w:rPr>
              <w:t>后端</w:t>
            </w:r>
          </w:p>
        </w:tc>
        <w:tc>
          <w:tcPr>
            <w:tcW w:w="2880" w:type="dxa"/>
          </w:tcPr>
          <w:p w14:paraId="367468E1">
            <w:pPr>
              <w:spacing w:after="0" w:line="240" w:lineRule="auto"/>
            </w:pPr>
            <w:r>
              <w:rPr>
                <w:sz w:val="20"/>
              </w:rPr>
              <w:t>Java Spring Boot</w:t>
            </w:r>
          </w:p>
        </w:tc>
        <w:tc>
          <w:tcPr>
            <w:tcW w:w="2880" w:type="dxa"/>
          </w:tcPr>
          <w:p w14:paraId="2156DC45">
            <w:pPr>
              <w:spacing w:after="0" w:line="240" w:lineRule="auto"/>
            </w:pPr>
            <w:r>
              <w:rPr>
                <w:sz w:val="20"/>
              </w:rPr>
              <w:t>组长指定技术栈；生态成熟稳定；适合处理认证、文件、数据库等业务逻辑</w:t>
            </w:r>
          </w:p>
        </w:tc>
      </w:tr>
      <w:tr w14:paraId="5C106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AEE1E1">
            <w:pPr>
              <w:spacing w:after="0" w:line="240" w:lineRule="auto"/>
            </w:pPr>
            <w:r>
              <w:rPr>
                <w:sz w:val="20"/>
              </w:rPr>
              <w:t>算法服务</w:t>
            </w:r>
          </w:p>
        </w:tc>
        <w:tc>
          <w:tcPr>
            <w:tcW w:w="2880" w:type="dxa"/>
          </w:tcPr>
          <w:p w14:paraId="3A7DED30">
            <w:pPr>
              <w:spacing w:after="0" w:line="240" w:lineRule="auto"/>
            </w:pPr>
            <w:r>
              <w:rPr>
                <w:sz w:val="20"/>
              </w:rPr>
              <w:t>Python FastAPI</w:t>
            </w:r>
          </w:p>
        </w:tc>
        <w:tc>
          <w:tcPr>
            <w:tcW w:w="2880" w:type="dxa"/>
          </w:tcPr>
          <w:p w14:paraId="6F8F9AEA">
            <w:pPr>
              <w:spacing w:after="0" w:line="240" w:lineRule="auto"/>
            </w:pPr>
            <w:r>
              <w:rPr>
                <w:sz w:val="20"/>
              </w:rPr>
              <w:t>AI模型生态（PyTorch/MediaPipe/PaddleOCR）天然适配Python；FastAPI异步性能好，自动生成OpenAPI文档</w:t>
            </w:r>
          </w:p>
        </w:tc>
      </w:tr>
      <w:tr w14:paraId="0D504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E28F38">
            <w:pPr>
              <w:spacing w:after="0" w:line="240" w:lineRule="auto"/>
            </w:pPr>
            <w:r>
              <w:rPr>
                <w:sz w:val="20"/>
              </w:rPr>
              <w:t>数据库</w:t>
            </w:r>
          </w:p>
        </w:tc>
        <w:tc>
          <w:tcPr>
            <w:tcW w:w="2880" w:type="dxa"/>
          </w:tcPr>
          <w:p w14:paraId="590DE5AF">
            <w:pPr>
              <w:spacing w:after="0" w:line="240" w:lineRule="auto"/>
            </w:pPr>
            <w:r>
              <w:rPr>
                <w:sz w:val="20"/>
              </w:rPr>
              <w:t>SQLite → PostgreSQL</w:t>
            </w:r>
          </w:p>
        </w:tc>
        <w:tc>
          <w:tcPr>
            <w:tcW w:w="2880" w:type="dxa"/>
          </w:tcPr>
          <w:p w14:paraId="2EE0B2C5">
            <w:pPr>
              <w:spacing w:after="0" w:line="240" w:lineRule="auto"/>
            </w:pPr>
            <w:r>
              <w:rPr>
                <w:sz w:val="20"/>
              </w:rPr>
              <w:t>SQLite零配置快速启动开发，后期可无缝切换到PostgreSQL</w:t>
            </w:r>
          </w:p>
        </w:tc>
      </w:tr>
      <w:tr w14:paraId="02F6A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C31C75">
            <w:pPr>
              <w:spacing w:after="0" w:line="240" w:lineRule="auto"/>
            </w:pPr>
            <w:r>
              <w:rPr>
                <w:sz w:val="20"/>
              </w:rPr>
              <w:t>AI模型</w:t>
            </w:r>
          </w:p>
        </w:tc>
        <w:tc>
          <w:tcPr>
            <w:tcW w:w="2880" w:type="dxa"/>
          </w:tcPr>
          <w:p w14:paraId="70786734">
            <w:pPr>
              <w:spacing w:after="0" w:line="240" w:lineRule="auto"/>
            </w:pPr>
            <w:r>
              <w:rPr>
                <w:sz w:val="20"/>
              </w:rPr>
              <w:t>YOLOv8 + PaddleOCR + MediaPipe</w:t>
            </w:r>
          </w:p>
        </w:tc>
        <w:tc>
          <w:tcPr>
            <w:tcW w:w="2880" w:type="dxa"/>
          </w:tcPr>
          <w:p w14:paraId="5E59980C">
            <w:pPr>
              <w:spacing w:after="0" w:line="240" w:lineRule="auto"/>
            </w:pPr>
            <w:r>
              <w:rPr>
                <w:sz w:val="20"/>
              </w:rPr>
              <w:t>预训练模型可用，不需从零训练；轻量级适合CPU推理；社区活跃文档丰富</w:t>
            </w:r>
          </w:p>
        </w:tc>
      </w:tr>
      <w:tr w14:paraId="5A622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A531C4">
            <w:pPr>
              <w:spacing w:after="0" w:line="240" w:lineRule="auto"/>
            </w:pPr>
            <w:r>
              <w:rPr>
                <w:sz w:val="20"/>
              </w:rPr>
              <w:t>LLM API</w:t>
            </w:r>
          </w:p>
        </w:tc>
        <w:tc>
          <w:tcPr>
            <w:tcW w:w="2880" w:type="dxa"/>
          </w:tcPr>
          <w:p w14:paraId="4B072337">
            <w:pPr>
              <w:spacing w:after="0" w:line="240" w:lineRule="auto"/>
            </w:pPr>
            <w:r>
              <w:rPr>
                <w:sz w:val="20"/>
              </w:rPr>
              <w:t>DeepSeek-V3</w:t>
            </w:r>
          </w:p>
        </w:tc>
        <w:tc>
          <w:tcPr>
            <w:tcW w:w="2880" w:type="dxa"/>
          </w:tcPr>
          <w:p w14:paraId="0C4D4573">
            <w:pPr>
              <w:spacing w:after="0" w:line="240" w:lineRule="auto"/>
            </w:pPr>
            <w:r>
              <w:rPr>
                <w:sz w:val="20"/>
              </w:rPr>
              <w:t>500万tokens免费额度足够开发期使用；中文理解能力强；价格最低</w:t>
            </w:r>
          </w:p>
        </w:tc>
      </w:tr>
      <w:tr w14:paraId="714CE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081125">
            <w:pPr>
              <w:spacing w:after="0" w:line="240" w:lineRule="auto"/>
            </w:pPr>
            <w:r>
              <w:rPr>
                <w:sz w:val="20"/>
              </w:rPr>
              <w:t>实时推送</w:t>
            </w:r>
          </w:p>
        </w:tc>
        <w:tc>
          <w:tcPr>
            <w:tcW w:w="2880" w:type="dxa"/>
          </w:tcPr>
          <w:p w14:paraId="75A79E18">
            <w:pPr>
              <w:spacing w:after="0" w:line="240" w:lineRule="auto"/>
            </w:pPr>
            <w:r>
              <w:rPr>
                <w:sz w:val="20"/>
              </w:rPr>
              <w:t>WebSocket</w:t>
            </w:r>
          </w:p>
        </w:tc>
        <w:tc>
          <w:tcPr>
            <w:tcW w:w="2880" w:type="dxa"/>
          </w:tcPr>
          <w:p w14:paraId="2C55D3B9">
            <w:pPr>
              <w:spacing w:after="0" w:line="240" w:lineRule="auto"/>
            </w:pPr>
            <w:r>
              <w:rPr>
                <w:sz w:val="20"/>
              </w:rPr>
              <w:t>双向全双工，延迟低；Spring Boot和Vue 3均有成熟支持</w:t>
            </w:r>
          </w:p>
        </w:tc>
      </w:tr>
    </w:tbl>
    <w:p w14:paraId="19726FE0"/>
    <w:p w14:paraId="606E329D">
      <w:pPr>
        <w:pStyle w:val="3"/>
      </w:pPr>
      <w:r>
        <w:t>六、模块划分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"/>
        <w:gridCol w:w="2366"/>
        <w:gridCol w:w="2273"/>
        <w:gridCol w:w="2553"/>
        <w:gridCol w:w="1255"/>
      </w:tblGrid>
      <w:tr w14:paraId="4207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9AE6AA">
            <w:pPr>
              <w:spacing w:after="0" w:line="240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1728" w:type="dxa"/>
          </w:tcPr>
          <w:p w14:paraId="6A8F95F3">
            <w:pPr>
              <w:spacing w:after="0" w:line="240" w:lineRule="auto"/>
            </w:pPr>
            <w:r>
              <w:rPr>
                <w:b/>
                <w:sz w:val="20"/>
              </w:rPr>
              <w:t>前端组件</w:t>
            </w:r>
          </w:p>
        </w:tc>
        <w:tc>
          <w:tcPr>
            <w:tcW w:w="1728" w:type="dxa"/>
          </w:tcPr>
          <w:p w14:paraId="035F0B9A">
            <w:pPr>
              <w:spacing w:after="0" w:line="240" w:lineRule="auto"/>
            </w:pPr>
            <w:r>
              <w:rPr>
                <w:b/>
                <w:sz w:val="20"/>
              </w:rPr>
              <w:t>Java后端Service</w:t>
            </w:r>
          </w:p>
        </w:tc>
        <w:tc>
          <w:tcPr>
            <w:tcW w:w="1728" w:type="dxa"/>
          </w:tcPr>
          <w:p w14:paraId="14A84CB0">
            <w:pPr>
              <w:spacing w:after="0" w:line="240" w:lineRule="auto"/>
            </w:pPr>
            <w:r>
              <w:rPr>
                <w:b/>
                <w:sz w:val="20"/>
              </w:rPr>
              <w:t>Python算法Service</w:t>
            </w:r>
          </w:p>
        </w:tc>
        <w:tc>
          <w:tcPr>
            <w:tcW w:w="1728" w:type="dxa"/>
          </w:tcPr>
          <w:p w14:paraId="247B7C60">
            <w:pPr>
              <w:spacing w:after="0" w:line="240" w:lineRule="auto"/>
            </w:pPr>
            <w:r>
              <w:rPr>
                <w:b/>
                <w:sz w:val="20"/>
              </w:rPr>
              <w:t>涉及模型</w:t>
            </w:r>
          </w:p>
        </w:tc>
      </w:tr>
      <w:tr w14:paraId="76BA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0F73CEA">
            <w:pPr>
              <w:spacing w:after="0" w:line="240" w:lineRule="auto"/>
            </w:pPr>
            <w:r>
              <w:rPr>
                <w:sz w:val="20"/>
              </w:rPr>
              <w:t>车牌识别</w:t>
            </w:r>
          </w:p>
        </w:tc>
        <w:tc>
          <w:tcPr>
            <w:tcW w:w="1728" w:type="dxa"/>
          </w:tcPr>
          <w:p w14:paraId="395A4AF1">
            <w:pPr>
              <w:spacing w:after="0" w:line="240" w:lineRule="auto"/>
            </w:pPr>
            <w:r>
              <w:rPr>
                <w:sz w:val="20"/>
              </w:rPr>
              <w:t>LicensePlatePage.vue</w:t>
            </w:r>
          </w:p>
        </w:tc>
        <w:tc>
          <w:tcPr>
            <w:tcW w:w="1728" w:type="dxa"/>
          </w:tcPr>
          <w:p w14:paraId="5968BA69">
            <w:pPr>
              <w:spacing w:after="0" w:line="240" w:lineRule="auto"/>
            </w:pPr>
            <w:r>
              <w:rPr>
                <w:sz w:val="20"/>
              </w:rPr>
              <w:t>LpService.java</w:t>
            </w:r>
          </w:p>
        </w:tc>
        <w:tc>
          <w:tcPr>
            <w:tcW w:w="1728" w:type="dxa"/>
          </w:tcPr>
          <w:p w14:paraId="6FCC85D1">
            <w:pPr>
              <w:spacing w:after="0" w:line="240" w:lineRule="auto"/>
            </w:pPr>
            <w:r>
              <w:rPr>
                <w:sz w:val="20"/>
              </w:rPr>
              <w:t>license_plate_service.py</w:t>
            </w:r>
          </w:p>
        </w:tc>
        <w:tc>
          <w:tcPr>
            <w:tcW w:w="1728" w:type="dxa"/>
          </w:tcPr>
          <w:p w14:paraId="6F5D9C49">
            <w:pPr>
              <w:spacing w:after="0" w:line="240" w:lineRule="auto"/>
            </w:pPr>
            <w:r>
              <w:rPr>
                <w:sz w:val="20"/>
              </w:rPr>
              <w:t>YOLOv8 + PaddleOCR</w:t>
            </w:r>
          </w:p>
        </w:tc>
      </w:tr>
      <w:tr w14:paraId="2A81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080FA9D">
            <w:pPr>
              <w:spacing w:after="0" w:line="240" w:lineRule="auto"/>
            </w:pPr>
            <w:r>
              <w:rPr>
                <w:sz w:val="20"/>
              </w:rPr>
              <w:t>交警手势</w:t>
            </w:r>
          </w:p>
        </w:tc>
        <w:tc>
          <w:tcPr>
            <w:tcW w:w="1728" w:type="dxa"/>
          </w:tcPr>
          <w:p w14:paraId="7FF3700D">
            <w:pPr>
              <w:spacing w:after="0" w:line="240" w:lineRule="auto"/>
            </w:pPr>
            <w:r>
              <w:rPr>
                <w:sz w:val="20"/>
              </w:rPr>
              <w:t>PoliceGesturePage.vue</w:t>
            </w:r>
          </w:p>
        </w:tc>
        <w:tc>
          <w:tcPr>
            <w:tcW w:w="1728" w:type="dxa"/>
          </w:tcPr>
          <w:p w14:paraId="335610D1">
            <w:pPr>
              <w:spacing w:after="0" w:line="240" w:lineRule="auto"/>
            </w:pPr>
            <w:r>
              <w:rPr>
                <w:sz w:val="20"/>
              </w:rPr>
              <w:t>PoliceService.java</w:t>
            </w:r>
          </w:p>
        </w:tc>
        <w:tc>
          <w:tcPr>
            <w:tcW w:w="1728" w:type="dxa"/>
          </w:tcPr>
          <w:p w14:paraId="22EF2BCA">
            <w:pPr>
              <w:spacing w:after="0" w:line="240" w:lineRule="auto"/>
            </w:pPr>
            <w:r>
              <w:rPr>
                <w:sz w:val="20"/>
              </w:rPr>
              <w:t>police_gesture_service.py</w:t>
            </w:r>
          </w:p>
        </w:tc>
        <w:tc>
          <w:tcPr>
            <w:tcW w:w="1728" w:type="dxa"/>
          </w:tcPr>
          <w:p w14:paraId="725CB435">
            <w:pPr>
              <w:spacing w:after="0" w:line="240" w:lineRule="auto"/>
            </w:pPr>
            <w:r>
              <w:rPr>
                <w:sz w:val="20"/>
              </w:rPr>
              <w:t>MediaPipe Pose + ST-GCN</w:t>
            </w:r>
          </w:p>
        </w:tc>
      </w:tr>
      <w:tr w14:paraId="0DB2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1556873">
            <w:pPr>
              <w:spacing w:after="0" w:line="240" w:lineRule="auto"/>
            </w:pPr>
            <w:r>
              <w:rPr>
                <w:sz w:val="20"/>
              </w:rPr>
              <w:t>车主手势</w:t>
            </w:r>
          </w:p>
        </w:tc>
        <w:tc>
          <w:tcPr>
            <w:tcW w:w="1728" w:type="dxa"/>
          </w:tcPr>
          <w:p w14:paraId="40247E2E">
            <w:pPr>
              <w:spacing w:after="0" w:line="240" w:lineRule="auto"/>
            </w:pPr>
            <w:r>
              <w:rPr>
                <w:sz w:val="20"/>
              </w:rPr>
              <w:t>OwnerGesturePage.vue</w:t>
            </w:r>
          </w:p>
        </w:tc>
        <w:tc>
          <w:tcPr>
            <w:tcW w:w="1728" w:type="dxa"/>
          </w:tcPr>
          <w:p w14:paraId="62285ADC">
            <w:pPr>
              <w:spacing w:after="0" w:line="240" w:lineRule="auto"/>
            </w:pPr>
            <w:r>
              <w:rPr>
                <w:sz w:val="20"/>
              </w:rPr>
              <w:t>OwnerService.java</w:t>
            </w:r>
          </w:p>
        </w:tc>
        <w:tc>
          <w:tcPr>
            <w:tcW w:w="1728" w:type="dxa"/>
          </w:tcPr>
          <w:p w14:paraId="67FDB48D">
            <w:pPr>
              <w:spacing w:after="0" w:line="240" w:lineRule="auto"/>
            </w:pPr>
            <w:r>
              <w:rPr>
                <w:sz w:val="20"/>
              </w:rPr>
              <w:t>owner_gesture_service.py</w:t>
            </w:r>
          </w:p>
        </w:tc>
        <w:tc>
          <w:tcPr>
            <w:tcW w:w="1728" w:type="dxa"/>
          </w:tcPr>
          <w:p w14:paraId="2CD1DDB3">
            <w:pPr>
              <w:spacing w:after="0" w:line="240" w:lineRule="auto"/>
            </w:pPr>
            <w:r>
              <w:rPr>
                <w:sz w:val="20"/>
              </w:rPr>
              <w:t>MediaPipe Hands + 分类器</w:t>
            </w:r>
          </w:p>
        </w:tc>
      </w:tr>
      <w:tr w14:paraId="37FC4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A6F4EDF">
            <w:pPr>
              <w:spacing w:after="0" w:line="240" w:lineRule="auto"/>
            </w:pPr>
            <w:r>
              <w:rPr>
                <w:sz w:val="20"/>
              </w:rPr>
              <w:t>告警监控</w:t>
            </w:r>
          </w:p>
        </w:tc>
        <w:tc>
          <w:tcPr>
            <w:tcW w:w="1728" w:type="dxa"/>
          </w:tcPr>
          <w:p w14:paraId="7F0E4042">
            <w:pPr>
              <w:spacing w:after="0" w:line="240" w:lineRule="auto"/>
            </w:pPr>
            <w:r>
              <w:rPr>
                <w:sz w:val="20"/>
              </w:rPr>
              <w:t>AlertDashboard.vue</w:t>
            </w:r>
          </w:p>
        </w:tc>
        <w:tc>
          <w:tcPr>
            <w:tcW w:w="1728" w:type="dxa"/>
          </w:tcPr>
          <w:p w14:paraId="507B06EF">
            <w:pPr>
              <w:spacing w:after="0" w:line="240" w:lineRule="auto"/>
            </w:pPr>
            <w:r>
              <w:rPr>
                <w:sz w:val="20"/>
              </w:rPr>
              <w:t>AlertAgentService.java</w:t>
            </w:r>
          </w:p>
        </w:tc>
        <w:tc>
          <w:tcPr>
            <w:tcW w:w="1728" w:type="dxa"/>
          </w:tcPr>
          <w:p w14:paraId="6621E242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5328F2EA">
            <w:pPr>
              <w:spacing w:after="0" w:line="240" w:lineRule="auto"/>
            </w:pPr>
            <w:r>
              <w:rPr>
                <w:sz w:val="20"/>
              </w:rPr>
              <w:t>LLM API</w:t>
            </w:r>
          </w:p>
        </w:tc>
      </w:tr>
      <w:tr w14:paraId="317BF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6B72E640">
            <w:pPr>
              <w:spacing w:after="0" w:line="240" w:lineRule="auto"/>
            </w:pPr>
            <w:r>
              <w:rPr>
                <w:sz w:val="20"/>
              </w:rPr>
              <w:t>用户管理</w:t>
            </w:r>
          </w:p>
        </w:tc>
        <w:tc>
          <w:tcPr>
            <w:tcW w:w="1728" w:type="dxa"/>
          </w:tcPr>
          <w:p w14:paraId="0E91A936">
            <w:pPr>
              <w:spacing w:after="0" w:line="240" w:lineRule="auto"/>
            </w:pPr>
            <w:r>
              <w:rPr>
                <w:sz w:val="20"/>
              </w:rPr>
              <w:t>LoginPage.vue / ProfilePage.vue</w:t>
            </w:r>
          </w:p>
        </w:tc>
        <w:tc>
          <w:tcPr>
            <w:tcW w:w="1728" w:type="dxa"/>
          </w:tcPr>
          <w:p w14:paraId="60015BFC">
            <w:pPr>
              <w:spacing w:after="0" w:line="240" w:lineRule="auto"/>
            </w:pPr>
            <w:r>
              <w:rPr>
                <w:sz w:val="20"/>
              </w:rPr>
              <w:t>AuthService.java</w:t>
            </w:r>
          </w:p>
        </w:tc>
        <w:tc>
          <w:tcPr>
            <w:tcW w:w="1728" w:type="dxa"/>
          </w:tcPr>
          <w:p w14:paraId="5F70DC1A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7A5A4E5F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  <w:tr w14:paraId="4BAFD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A9BE39">
            <w:pPr>
              <w:spacing w:after="0" w:line="240" w:lineRule="auto"/>
            </w:pPr>
            <w:r>
              <w:rPr>
                <w:sz w:val="20"/>
              </w:rPr>
              <w:t>历史记录</w:t>
            </w:r>
          </w:p>
        </w:tc>
        <w:tc>
          <w:tcPr>
            <w:tcW w:w="1728" w:type="dxa"/>
          </w:tcPr>
          <w:p w14:paraId="194B3157">
            <w:pPr>
              <w:spacing w:after="0" w:line="240" w:lineRule="auto"/>
            </w:pPr>
            <w:r>
              <w:rPr>
                <w:sz w:val="20"/>
              </w:rPr>
              <w:t>HistoryPage.vue</w:t>
            </w:r>
          </w:p>
        </w:tc>
        <w:tc>
          <w:tcPr>
            <w:tcW w:w="1728" w:type="dxa"/>
          </w:tcPr>
          <w:p w14:paraId="5E45A98B">
            <w:pPr>
              <w:spacing w:after="0" w:line="240" w:lineRule="auto"/>
            </w:pPr>
            <w:r>
              <w:rPr>
                <w:sz w:val="20"/>
              </w:rPr>
              <w:t>HistoryService.java</w:t>
            </w:r>
          </w:p>
        </w:tc>
        <w:tc>
          <w:tcPr>
            <w:tcW w:w="1728" w:type="dxa"/>
          </w:tcPr>
          <w:p w14:paraId="0B779849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53CD8BFB">
            <w:pPr>
              <w:spacing w:after="0" w:line="240" w:lineRule="auto"/>
            </w:pPr>
            <w:r>
              <w:rPr>
                <w:sz w:val="20"/>
              </w:rPr>
              <w:t>—</w:t>
            </w:r>
          </w:p>
        </w:tc>
      </w:tr>
    </w:tbl>
    <w:p w14:paraId="65D0A4F1"/>
    <w:p w14:paraId="073AE109">
      <w:r>
        <w:rPr>
          <w:rFonts w:ascii="微软雅黑" w:hAnsi="微软雅黑"/>
          <w:sz w:val="22"/>
        </w:rPr>
        <w:t>注：Alert Agent部署在Java后端中，直接读取数据库中的日志表进行异常检测，调用LLM API生成告警摘要，不经过Python算法服务。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2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780</Words>
  <Characters>1287</Characters>
  <Lines>0</Lines>
  <Paragraphs>0</Paragraphs>
  <TotalTime>0</TotalTime>
  <ScaleCrop>false</ScaleCrop>
  <LinksUpToDate>false</LinksUpToDate>
  <CharactersWithSpaces>1387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须邀织女弄金梭</cp:lastModifiedBy>
  <dcterms:modified xsi:type="dcterms:W3CDTF">2026-07-06T03:59:48Z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eyJoZGlkIjoiNTViMDNhM2Q5OGEwNDVjYmEwNmI0ZjM4ZjhkNTVhNDEiLCJ1c2VySWQiOiIxMjg3MzYxMDI2In0=</vt:lpwstr>
  </property>
  <property fmtid="{D5CDD505-2E9C-101B-9397-08002B2CF9AE}" pid="3" name="KSOProductBuildVer">
    <vt:lpwstr>2052-12.1.0.22175</vt:lpwstr>
  </property>
  <property fmtid="{D5CDD505-2E9C-101B-9397-08002B2CF9AE}" pid="4" name="ICV">
    <vt:lpwstr>E42BFA2CBC684EADBD46640C2A3E81C9_12</vt:lpwstr>
  </property>
</Properties>
</file>